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93" w:type="dxa"/>
        <w:jc w:val="left"/>
        <w:tblInd w:w="279" w:type="dxa"/>
        <w:tblCellMar>
          <w:top w:w="0" w:type="dxa"/>
          <w:left w:w="108" w:type="dxa"/>
          <w:bottom w:w="0" w:type="dxa"/>
          <w:right w:w="108" w:type="dxa"/>
        </w:tblCellMar>
        <w:tblLook w:val="04a0" w:noVBand="1" w:noHBand="0" w:lastColumn="0" w:firstColumn="1" w:lastRow="0" w:firstRow="1"/>
      </w:tblPr>
      <w:tblGrid>
        <w:gridCol w:w="899"/>
        <w:gridCol w:w="5630"/>
        <w:gridCol w:w="1642"/>
        <w:gridCol w:w="1199"/>
        <w:gridCol w:w="223"/>
      </w:tblGrid>
      <w:tr>
        <w:trPr/>
        <w:tc>
          <w:tcPr>
            <w:tcW w:w="9593" w:type="dxa"/>
            <w:gridSpan w:val="5"/>
            <w:tcBorders/>
            <w:shd w:fill="auto" w:val="clear"/>
          </w:tcPr>
          <w:p>
            <w:pPr>
              <w:pStyle w:val="Normal"/>
              <w:rPr>
                <w:sz w:val="28"/>
                <w:szCs w:val="28"/>
              </w:rPr>
            </w:pPr>
            <w:r>
              <w:rPr>
                <w:rFonts w:cs="Arial" w:ascii="Arial" w:hAnsi="Arial"/>
                <w:color w:val="4472C4" w:themeColor="accent1"/>
                <w:sz w:val="28"/>
                <w:szCs w:val="28"/>
              </w:rPr>
              <w:t xml:space="preserve">Eye &amp; Dunsden Parish NDP Steering Meeting Minutes: 26 March 2020 </w:t>
            </w:r>
          </w:p>
          <w:p>
            <w:pPr>
              <w:pStyle w:val="Normal"/>
              <w:rPr>
                <w:rFonts w:ascii="Arial" w:hAnsi="Arial" w:cs="Arial"/>
                <w:sz w:val="16"/>
                <w:szCs w:val="16"/>
              </w:rPr>
            </w:pPr>
            <w:r>
              <w:rPr>
                <w:rFonts w:cs="Arial" w:ascii="Arial" w:hAnsi="Arial"/>
                <w:sz w:val="16"/>
                <w:szCs w:val="16"/>
              </w:rPr>
            </w:r>
          </w:p>
        </w:tc>
      </w:tr>
      <w:tr>
        <w:trPr/>
        <w:tc>
          <w:tcPr>
            <w:tcW w:w="9593" w:type="dxa"/>
            <w:gridSpan w:val="5"/>
            <w:tcBorders/>
            <w:shd w:fill="auto" w:val="clear"/>
          </w:tcPr>
          <w:p>
            <w:pPr>
              <w:pStyle w:val="Normal"/>
              <w:rPr/>
            </w:pPr>
            <w:r>
              <w:rPr>
                <w:rFonts w:cs="Arial" w:ascii="Arial" w:hAnsi="Arial"/>
                <w:b/>
                <w:bCs/>
                <w:sz w:val="16"/>
                <w:szCs w:val="16"/>
              </w:rPr>
              <w:t xml:space="preserve">Attendees: </w:t>
            </w:r>
            <w:r>
              <w:rPr>
                <w:rFonts w:cs="Arial" w:ascii="Arial" w:hAnsi="Arial"/>
                <w:sz w:val="16"/>
                <w:szCs w:val="16"/>
              </w:rPr>
              <w:t>David Woodward, Richard Berkley, Nick Marks, Ian Dick, David Breeze, Howard Crews, Sharon Brentnall (for part)</w:t>
            </w:r>
          </w:p>
          <w:p>
            <w:pPr>
              <w:pStyle w:val="Normal"/>
              <w:rPr>
                <w:rFonts w:ascii="Arial" w:hAnsi="Arial" w:cs="Arial"/>
                <w:b/>
                <w:b/>
                <w:bCs/>
                <w:sz w:val="16"/>
                <w:szCs w:val="16"/>
              </w:rPr>
            </w:pPr>
            <w:r>
              <w:rPr>
                <w:rFonts w:cs="Arial" w:ascii="Arial" w:hAnsi="Arial"/>
                <w:b/>
                <w:bCs/>
                <w:sz w:val="16"/>
                <w:szCs w:val="16"/>
              </w:rPr>
            </w:r>
          </w:p>
          <w:p>
            <w:pPr>
              <w:pStyle w:val="Normal"/>
              <w:rPr/>
            </w:pPr>
            <w:r>
              <w:rPr>
                <w:rFonts w:cs="Arial" w:ascii="Arial" w:hAnsi="Arial"/>
                <w:b/>
                <w:bCs/>
                <w:sz w:val="16"/>
                <w:szCs w:val="16"/>
              </w:rPr>
              <w:t xml:space="preserve">Apologies/not present: </w:t>
            </w:r>
            <w:r>
              <w:rPr>
                <w:rFonts w:cs="Arial" w:ascii="Arial" w:hAnsi="Arial"/>
                <w:sz w:val="16"/>
                <w:szCs w:val="16"/>
              </w:rPr>
              <w:br/>
              <w:t>Claire Murdoch, Debbie Simmons, Nicola Furlong, John Spooner, Nick &amp; Anabella Marks, Ian Pringle, Julie &amp; Steve Nicolson, Keith Maher, Andrew and Caroline Dunn, Peter Walton, Robbie, Sara Steward, Ginny/Peter Thomas</w:t>
            </w:r>
          </w:p>
          <w:p>
            <w:pPr>
              <w:pStyle w:val="Normal"/>
              <w:rPr>
                <w:rFonts w:ascii="Arial" w:hAnsi="Arial" w:cs="Arial"/>
                <w:sz w:val="16"/>
                <w:szCs w:val="16"/>
              </w:rPr>
            </w:pPr>
            <w:r>
              <w:rPr>
                <w:rFonts w:cs="Arial" w:ascii="Arial" w:hAnsi="Arial"/>
                <w:sz w:val="16"/>
                <w:szCs w:val="16"/>
              </w:rPr>
            </w:r>
          </w:p>
          <w:p>
            <w:pPr>
              <w:pStyle w:val="Normal"/>
              <w:rPr/>
            </w:pPr>
            <w:r>
              <w:rPr>
                <w:rFonts w:cs="Arial" w:ascii="Arial" w:hAnsi="Arial"/>
                <w:sz w:val="16"/>
                <w:szCs w:val="16"/>
              </w:rPr>
              <w:t>David Woodward welcomed and thanked Sharon Brentnall of Bluestone Planning Partnership LLP for joining the meeting.</w:t>
            </w:r>
          </w:p>
          <w:p>
            <w:pPr>
              <w:pStyle w:val="Normal"/>
              <w:rPr/>
            </w:pPr>
            <w:r>
              <w:rPr>
                <w:rFonts w:cs="Arial" w:ascii="Arial" w:hAnsi="Arial"/>
                <w:sz w:val="16"/>
                <w:szCs w:val="16"/>
              </w:rPr>
              <w:t xml:space="preserve">Howard Crews kindly agreed to take the minutes. </w:t>
            </w:r>
          </w:p>
          <w:p>
            <w:pPr>
              <w:pStyle w:val="Normal"/>
              <w:rPr/>
            </w:pPr>
            <w:r>
              <w:rPr>
                <w:rFonts w:cs="Arial" w:ascii="Arial" w:hAnsi="Arial"/>
                <w:sz w:val="16"/>
                <w:szCs w:val="16"/>
              </w:rPr>
              <w:t>All are requested to be ready to report back on their actions at the next meeting.</w:t>
            </w:r>
          </w:p>
          <w:p>
            <w:pPr>
              <w:pStyle w:val="Normal"/>
              <w:rPr>
                <w:rFonts w:ascii="Arial" w:hAnsi="Arial" w:cs="Arial"/>
                <w:sz w:val="16"/>
                <w:szCs w:val="16"/>
              </w:rPr>
            </w:pPr>
            <w:r>
              <w:rPr>
                <w:rFonts w:cs="Arial" w:ascii="Arial" w:hAnsi="Arial"/>
                <w:sz w:val="16"/>
                <w:szCs w:val="16"/>
              </w:rPr>
            </w:r>
          </w:p>
        </w:tc>
      </w:tr>
      <w:tr>
        <w:trPr/>
        <w:tc>
          <w:tcPr>
            <w:tcW w:w="899" w:type="dxa"/>
            <w:tcBorders/>
            <w:shd w:color="auto" w:fill="8EAADB" w:themeFill="accent1" w:themeFillTint="99" w:val="clear"/>
          </w:tcPr>
          <w:p>
            <w:pPr>
              <w:pStyle w:val="Normal"/>
              <w:ind w:right="380" w:hanging="0"/>
              <w:rPr>
                <w:rFonts w:ascii="Arial" w:hAnsi="Arial" w:cs="Arial"/>
                <w:sz w:val="16"/>
                <w:szCs w:val="16"/>
              </w:rPr>
            </w:pPr>
            <w:r>
              <w:rPr>
                <w:rFonts w:cs="Arial" w:ascii="Arial" w:hAnsi="Arial"/>
                <w:sz w:val="16"/>
                <w:szCs w:val="16"/>
              </w:rPr>
            </w:r>
          </w:p>
        </w:tc>
        <w:tc>
          <w:tcPr>
            <w:tcW w:w="5630" w:type="dxa"/>
            <w:tcBorders/>
            <w:shd w:color="auto" w:fill="8EAADB" w:themeFill="accent1" w:themeFillTint="99" w:val="clear"/>
          </w:tcPr>
          <w:p>
            <w:pPr>
              <w:pStyle w:val="Normal"/>
              <w:rPr>
                <w:rFonts w:ascii="Arial" w:hAnsi="Arial" w:cs="Arial"/>
                <w:sz w:val="16"/>
                <w:szCs w:val="16"/>
              </w:rPr>
            </w:pPr>
            <w:r>
              <w:rPr>
                <w:rFonts w:cs="Arial" w:ascii="Arial" w:hAnsi="Arial"/>
                <w:sz w:val="16"/>
                <w:szCs w:val="16"/>
              </w:rPr>
              <w:t>Minutes</w:t>
            </w:r>
            <w:bookmarkStart w:id="0" w:name="_GoBack"/>
            <w:bookmarkEnd w:id="0"/>
            <w:r>
              <w:rPr>
                <w:rFonts w:cs="Arial" w:ascii="Arial" w:hAnsi="Arial"/>
                <w:sz w:val="16"/>
                <w:szCs w:val="16"/>
              </w:rPr>
              <w:t xml:space="preserve"> / Action Points</w:t>
            </w:r>
          </w:p>
        </w:tc>
        <w:tc>
          <w:tcPr>
            <w:tcW w:w="1642" w:type="dxa"/>
            <w:tcBorders/>
            <w:shd w:color="auto" w:fill="8EAADB" w:themeFill="accent1" w:themeFillTint="99" w:val="clear"/>
          </w:tcPr>
          <w:p>
            <w:pPr>
              <w:pStyle w:val="Normal"/>
              <w:rPr>
                <w:rFonts w:ascii="Arial" w:hAnsi="Arial" w:cs="Arial"/>
                <w:sz w:val="16"/>
                <w:szCs w:val="16"/>
              </w:rPr>
            </w:pPr>
            <w:r>
              <w:rPr>
                <w:rFonts w:cs="Arial" w:ascii="Arial" w:hAnsi="Arial"/>
                <w:sz w:val="16"/>
                <w:szCs w:val="16"/>
              </w:rPr>
              <w:t>Who</w:t>
            </w:r>
          </w:p>
        </w:tc>
        <w:tc>
          <w:tcPr>
            <w:tcW w:w="1199" w:type="dxa"/>
            <w:tcBorders/>
            <w:shd w:color="auto" w:fill="8EAADB" w:themeFill="accent1" w:themeFillTint="99" w:val="clear"/>
          </w:tcPr>
          <w:p>
            <w:pPr>
              <w:pStyle w:val="Normal"/>
              <w:rPr>
                <w:rFonts w:ascii="Arial" w:hAnsi="Arial" w:cs="Arial"/>
                <w:sz w:val="16"/>
                <w:szCs w:val="16"/>
              </w:rPr>
            </w:pPr>
            <w:r>
              <w:rPr>
                <w:rFonts w:cs="Arial" w:ascii="Arial" w:hAnsi="Arial"/>
                <w:sz w:val="16"/>
                <w:szCs w:val="16"/>
              </w:rPr>
              <w:t>Complete by</w:t>
            </w:r>
          </w:p>
        </w:tc>
        <w:tc>
          <w:tcPr>
            <w:tcW w:w="223" w:type="dxa"/>
            <w:tcBorders>
              <w:top w:val="nil"/>
              <w:left w:val="nil"/>
              <w:bottom w:val="nil"/>
              <w:right w:val="nil"/>
              <w:insideH w:val="nil"/>
              <w:insideV w:val="nil"/>
            </w:tcBorders>
            <w:shd w:fill="auto" w:val="clear"/>
          </w:tcPr>
          <w:p>
            <w:pPr>
              <w:pStyle w:val="Normal"/>
              <w:rPr/>
            </w:pPr>
            <w:r>
              <w:rPr/>
            </w:r>
          </w:p>
        </w:tc>
      </w:tr>
      <w:tr>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Narrow" w:hAnsi="Arial Narrow"/>
                <w:sz w:val="16"/>
                <w:szCs w:val="16"/>
              </w:rPr>
              <w:t>1</w:t>
            </w:r>
          </w:p>
        </w:tc>
        <w:tc>
          <w:tcPr>
            <w:tcW w:w="5630" w:type="dxa"/>
            <w:tcBorders/>
            <w:shd w:color="auto" w:fill="FFFFFF" w:themeFill="background1" w:val="clear"/>
          </w:tcPr>
          <w:p>
            <w:pPr>
              <w:pStyle w:val="Normal"/>
              <w:rPr>
                <w:rFonts w:ascii="Arial" w:hAnsi="Arial" w:cs="Arial"/>
                <w:sz w:val="16"/>
                <w:szCs w:val="16"/>
              </w:rPr>
            </w:pPr>
            <w:r>
              <w:rPr>
                <w:rFonts w:cs="Arial" w:ascii="Arial Narrow" w:hAnsi="Arial Narrow"/>
                <w:b/>
                <w:bCs/>
                <w:sz w:val="16"/>
                <w:szCs w:val="16"/>
                <w:u w:val="single"/>
              </w:rPr>
              <w:t>Previous Minutes</w:t>
            </w:r>
            <w:r>
              <w:rPr>
                <w:rFonts w:cs="Arial" w:ascii="Arial Narrow" w:hAnsi="Arial Narrow"/>
                <w:sz w:val="16"/>
                <w:szCs w:val="16"/>
              </w:rPr>
              <w:t xml:space="preserve"> - the 20</w:t>
            </w:r>
            <w:r>
              <w:rPr>
                <w:rFonts w:cs="Arial" w:ascii="Arial Narrow" w:hAnsi="Arial Narrow"/>
                <w:sz w:val="16"/>
                <w:szCs w:val="16"/>
                <w:vertAlign w:val="superscript"/>
              </w:rPr>
              <w:t>th</w:t>
            </w:r>
            <w:r>
              <w:rPr>
                <w:rFonts w:cs="Arial" w:ascii="Arial Narrow" w:hAnsi="Arial Narrow"/>
                <w:sz w:val="16"/>
                <w:szCs w:val="16"/>
              </w:rPr>
              <w:t xml:space="preserve"> February 2020 meeting minutes  were agreed and adopted.</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 xml:space="preserve">NDP SG </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7494" w:hRule="atLeast"/>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Narrow" w:hAnsi="Arial Narrow"/>
                <w:sz w:val="16"/>
                <w:szCs w:val="16"/>
              </w:rPr>
              <w:t xml:space="preserve">2 </w:t>
            </w:r>
          </w:p>
        </w:tc>
        <w:tc>
          <w:tcPr>
            <w:tcW w:w="5630" w:type="dxa"/>
            <w:tcBorders/>
            <w:shd w:color="auto" w:fill="FFFFFF" w:themeFill="background1" w:val="clear"/>
          </w:tcPr>
          <w:p>
            <w:pPr>
              <w:pStyle w:val="Normal"/>
              <w:rPr/>
            </w:pPr>
            <w:r>
              <w:rPr>
                <w:rFonts w:cs="Arial" w:ascii="Arial Narrow" w:hAnsi="Arial Narrow"/>
                <w:b/>
                <w:bCs/>
                <w:sz w:val="16"/>
                <w:szCs w:val="16"/>
                <w:u w:val="single"/>
              </w:rPr>
              <w:t>Consultancy Options</w:t>
            </w:r>
            <w:r>
              <w:rPr>
                <w:rFonts w:cs="Arial" w:ascii="Arial Narrow" w:hAnsi="Arial Narrow"/>
                <w:sz w:val="16"/>
                <w:szCs w:val="16"/>
              </w:rPr>
              <w:t xml:space="preserve"> – Sharon Brentnall  introduced Blue Stone Planning (BP) and referred to the services they can provide to an </w:t>
            </w:r>
            <w:r>
              <w:rPr>
                <w:rFonts w:cs="Calibri" w:ascii="Arial Narrow" w:hAnsi="Arial Narrow"/>
                <w:sz w:val="16"/>
                <w:szCs w:val="16"/>
              </w:rPr>
              <w:t>NDP process including funding applications, advising on the vision, objectives and content of an NDP,  completing surveys and assessments, gathering evidence, drafting policies and assisting in the management of the an NDP process.</w:t>
            </w:r>
          </w:p>
          <w:p>
            <w:pPr>
              <w:pStyle w:val="Normal"/>
              <w:rPr>
                <w:rFonts w:ascii="Arial Narrow" w:hAnsi="Arial Narrow" w:cs="Calibri"/>
                <w:sz w:val="16"/>
                <w:szCs w:val="16"/>
              </w:rPr>
            </w:pPr>
            <w:r>
              <w:rPr>
                <w:rFonts w:cs="Calibri" w:ascii="Arial Narrow" w:hAnsi="Arial Narrow"/>
                <w:sz w:val="16"/>
                <w:szCs w:val="16"/>
              </w:rPr>
            </w:r>
          </w:p>
          <w:p>
            <w:pPr>
              <w:pStyle w:val="Normal"/>
              <w:rPr/>
            </w:pPr>
            <w:r>
              <w:rPr>
                <w:rFonts w:cs="Calibri" w:ascii="Arial Narrow" w:hAnsi="Arial Narrow"/>
                <w:sz w:val="16"/>
                <w:szCs w:val="16"/>
              </w:rPr>
              <w:t>It was noted BP advised Shiplake NDP on Grant Funding / Design Code / Character Appraisal / Plan Policies / Consultation Statement / Basic Condition Statement / Examination and had work with closely with Liz Allen Landscape Architect on the Shiplake NDP so was  familiar with the Parish of E&amp;D.</w:t>
            </w:r>
          </w:p>
          <w:p>
            <w:pPr>
              <w:pStyle w:val="Normal"/>
              <w:rPr>
                <w:rFonts w:ascii="Arial Narrow" w:hAnsi="Arial Narrow" w:cs="Calibri"/>
                <w:sz w:val="16"/>
                <w:szCs w:val="16"/>
              </w:rPr>
            </w:pPr>
            <w:r>
              <w:rPr>
                <w:rFonts w:cs="Calibri" w:ascii="Arial Narrow" w:hAnsi="Arial Narrow"/>
                <w:sz w:val="16"/>
                <w:szCs w:val="16"/>
              </w:rPr>
            </w:r>
          </w:p>
          <w:p>
            <w:pPr>
              <w:pStyle w:val="Normal"/>
              <w:rPr>
                <w:rFonts w:ascii="Arial Narrow" w:hAnsi="Arial Narrow" w:cs="Calibri"/>
                <w:b/>
                <w:b/>
                <w:bCs/>
                <w:sz w:val="16"/>
                <w:szCs w:val="16"/>
                <w:u w:val="single"/>
              </w:rPr>
            </w:pPr>
            <w:r>
              <w:rPr>
                <w:rFonts w:cs="Calibri" w:ascii="Arial Narrow" w:hAnsi="Arial Narrow"/>
                <w:b/>
                <w:bCs/>
                <w:sz w:val="16"/>
                <w:szCs w:val="16"/>
                <w:u w:val="single"/>
              </w:rPr>
              <w:t>Funding:</w:t>
            </w:r>
          </w:p>
          <w:p>
            <w:pPr>
              <w:pStyle w:val="Normal"/>
              <w:rPr/>
            </w:pPr>
            <w:r>
              <w:rPr>
                <w:rFonts w:cs="Calibri" w:ascii="Arial Narrow" w:hAnsi="Arial Narrow"/>
                <w:sz w:val="16"/>
                <w:szCs w:val="16"/>
              </w:rPr>
              <w:t>SODC:  £5,000: ID  reported that a grant application by the April deadline was imminent</w:t>
            </w:r>
          </w:p>
          <w:p>
            <w:pPr>
              <w:pStyle w:val="Normal"/>
              <w:rPr/>
            </w:pPr>
            <w:r>
              <w:rPr>
                <w:rFonts w:cs="Calibri" w:ascii="Arial Narrow" w:hAnsi="Arial Narrow"/>
                <w:sz w:val="16"/>
                <w:szCs w:val="16"/>
              </w:rPr>
              <w:t>E&amp;D PC: £4,000-5,000: DW reported the PC were looking into providing some grant funding.</w:t>
            </w:r>
          </w:p>
          <w:p>
            <w:pPr>
              <w:pStyle w:val="Normal"/>
              <w:rPr/>
            </w:pPr>
            <w:r>
              <w:rPr>
                <w:rFonts w:cs="Calibri" w:ascii="Arial Narrow" w:hAnsi="Arial Narrow"/>
                <w:sz w:val="16"/>
                <w:szCs w:val="16"/>
              </w:rPr>
              <w:t>LOCALITY GRANT (LG): £9,000-20,000: SB raised LGs that  are payable on approval to fund the costs of professional assistance and advice. Application forms are available from the 20</w:t>
            </w:r>
            <w:r>
              <w:rPr>
                <w:rFonts w:cs="Calibri" w:ascii="Arial Narrow" w:hAnsi="Arial Narrow"/>
                <w:sz w:val="16"/>
                <w:szCs w:val="16"/>
                <w:vertAlign w:val="superscript"/>
              </w:rPr>
              <w:t>th</w:t>
            </w:r>
            <w:r>
              <w:rPr>
                <w:rFonts w:cs="Calibri" w:ascii="Arial Narrow" w:hAnsi="Arial Narrow"/>
                <w:sz w:val="16"/>
                <w:szCs w:val="16"/>
              </w:rPr>
              <w:t xml:space="preserve"> April. BP can assist with the application forms preparation and submission. BP’s fee would be £73 / hour +VAT and a budget of £175.20 inc VAT was agreed. DW confirmed E&amp;DPC would fund BP’s fee for preparing and submitting the application and would instruct them accordingly.</w:t>
            </w:r>
          </w:p>
          <w:p>
            <w:pPr>
              <w:pStyle w:val="Normal"/>
              <w:rPr>
                <w:rFonts w:ascii="Arial Narrow" w:hAnsi="Arial Narrow" w:cs="Calibri"/>
                <w:sz w:val="16"/>
                <w:szCs w:val="16"/>
              </w:rPr>
            </w:pPr>
            <w:r>
              <w:rPr>
                <w:rFonts w:cs="Calibri" w:ascii="Arial Narrow" w:hAnsi="Arial Narrow"/>
                <w:sz w:val="16"/>
                <w:szCs w:val="16"/>
              </w:rPr>
            </w:r>
          </w:p>
          <w:p>
            <w:pPr>
              <w:pStyle w:val="Normal"/>
              <w:rPr/>
            </w:pPr>
            <w:r>
              <w:rPr>
                <w:rFonts w:cs="Calibri" w:ascii="Arial Narrow" w:hAnsi="Arial Narrow"/>
                <w:sz w:val="16"/>
                <w:szCs w:val="16"/>
              </w:rPr>
              <w:t>A general discussion then continued that covered the following points:</w:t>
            </w:r>
          </w:p>
          <w:p>
            <w:pPr>
              <w:pStyle w:val="ListParagraph"/>
              <w:numPr>
                <w:ilvl w:val="0"/>
                <w:numId w:val="1"/>
              </w:numPr>
              <w:rPr/>
            </w:pPr>
            <w:r>
              <w:rPr>
                <w:rFonts w:cs="Calibri" w:ascii="Arial Narrow" w:hAnsi="Arial Narrow"/>
                <w:b/>
                <w:bCs/>
                <w:sz w:val="16"/>
                <w:szCs w:val="16"/>
              </w:rPr>
              <w:t>A first draft of vision and objectives</w:t>
            </w:r>
            <w:r>
              <w:rPr>
                <w:rFonts w:cs="Calibri" w:ascii="Arial Narrow" w:hAnsi="Arial Narrow"/>
                <w:sz w:val="16"/>
                <w:szCs w:val="16"/>
              </w:rPr>
              <w:t xml:space="preserve"> of the plan needs to be agreed to start the process. DW agreed to draft by next meeting. The proposed Neighbourhood Questionnaire should assist with this.</w:t>
            </w:r>
          </w:p>
          <w:p>
            <w:pPr>
              <w:pStyle w:val="ListParagraph"/>
              <w:numPr>
                <w:ilvl w:val="0"/>
                <w:numId w:val="1"/>
              </w:numPr>
              <w:rPr/>
            </w:pPr>
            <w:r>
              <w:rPr>
                <w:rFonts w:cs="Calibri" w:ascii="Arial Narrow" w:hAnsi="Arial Narrow"/>
                <w:b/>
                <w:bCs/>
                <w:sz w:val="16"/>
                <w:szCs w:val="16"/>
              </w:rPr>
              <w:t>Development Control</w:t>
            </w:r>
            <w:r>
              <w:rPr>
                <w:rFonts w:cs="Calibri" w:ascii="Arial Narrow" w:hAnsi="Arial Narrow"/>
                <w:sz w:val="16"/>
                <w:szCs w:val="16"/>
              </w:rPr>
              <w:t xml:space="preserve"> –  design-based policies are probably better than allocating specific sites for housing development as there is no requirement for the parish to put forward possible sites. Design based policies will help control the form of infill development. SODC’s SHELAA process includes a number of sites in the parish landowners have nominated for development &amp; will continue to inform the NDP </w:t>
            </w:r>
            <w:hyperlink r:id="rId2">
              <w:r>
                <w:rPr>
                  <w:rStyle w:val="InternetLink"/>
                  <w:rFonts w:cs="Calibri" w:ascii="Arial Narrow" w:hAnsi="Arial Narrow"/>
                  <w:b w:val="false"/>
                  <w:i w:val="false"/>
                  <w:caps w:val="false"/>
                  <w:smallCaps w:val="false"/>
                  <w:color w:val="3C4043"/>
                  <w:spacing w:val="0"/>
                  <w:sz w:val="16"/>
                  <w:szCs w:val="16"/>
                </w:rPr>
                <w:t>http://maps.southoxon.gov.uk/gis/?cat=appl&amp;ref=4</w:t>
              </w:r>
            </w:hyperlink>
          </w:p>
          <w:p>
            <w:pPr>
              <w:pStyle w:val="ListParagraph"/>
              <w:numPr>
                <w:ilvl w:val="0"/>
                <w:numId w:val="1"/>
              </w:numPr>
              <w:rPr>
                <w:rFonts w:ascii="Arial Narrow" w:hAnsi="Arial Narrow" w:cs="Calibri"/>
                <w:sz w:val="16"/>
                <w:szCs w:val="16"/>
              </w:rPr>
            </w:pPr>
            <w:r>
              <w:rPr>
                <w:rFonts w:cs="Calibri" w:ascii="Arial Narrow" w:hAnsi="Arial Narrow"/>
                <w:b/>
                <w:bCs/>
                <w:sz w:val="16"/>
                <w:szCs w:val="16"/>
              </w:rPr>
              <w:t>Landscape Buffers</w:t>
            </w:r>
            <w:r>
              <w:rPr>
                <w:rFonts w:cs="Calibri" w:ascii="Arial Narrow" w:hAnsi="Arial Narrow"/>
                <w:sz w:val="16"/>
                <w:szCs w:val="16"/>
              </w:rPr>
              <w:t xml:space="preserve"> – need to demonstrate that high value landscapes should be protected and key views identified. A Landscape Appraisal would be required.</w:t>
            </w:r>
          </w:p>
          <w:p>
            <w:pPr>
              <w:pStyle w:val="ListParagraph"/>
              <w:numPr>
                <w:ilvl w:val="0"/>
                <w:numId w:val="1"/>
              </w:numPr>
              <w:rPr>
                <w:rFonts w:ascii="Arial Narrow" w:hAnsi="Arial Narrow" w:cs="Calibri"/>
                <w:sz w:val="16"/>
                <w:szCs w:val="16"/>
              </w:rPr>
            </w:pPr>
            <w:r>
              <w:rPr>
                <w:rFonts w:cs="Calibri" w:ascii="Arial Narrow" w:hAnsi="Arial Narrow"/>
                <w:sz w:val="16"/>
                <w:szCs w:val="16"/>
              </w:rPr>
              <w:t>Consider the need for a Public Rights of Way Assessment, are any R of W’s being compromised?</w:t>
            </w:r>
          </w:p>
          <w:p>
            <w:pPr>
              <w:pStyle w:val="ListParagraph"/>
              <w:numPr>
                <w:ilvl w:val="0"/>
                <w:numId w:val="1"/>
              </w:numPr>
              <w:rPr>
                <w:rFonts w:ascii="Arial Narrow" w:hAnsi="Arial Narrow"/>
              </w:rPr>
            </w:pPr>
            <w:r>
              <w:rPr>
                <w:rFonts w:cs="Calibri" w:ascii="Arial Narrow" w:hAnsi="Arial Narrow"/>
                <w:b/>
                <w:bCs/>
                <w:sz w:val="16"/>
                <w:szCs w:val="16"/>
              </w:rPr>
              <w:t xml:space="preserve">Reading Transport Plan </w:t>
            </w:r>
            <w:r>
              <w:rPr>
                <w:rFonts w:cs="Calibri" w:ascii="Arial Narrow" w:hAnsi="Arial Narrow"/>
                <w:sz w:val="16"/>
                <w:szCs w:val="16"/>
              </w:rPr>
              <w:t>– Park and Ride,  Henley Road, need to demonstrate the site unsuitability. Consider flooding, ecology, bio-diversity and landscape/views.</w:t>
            </w:r>
          </w:p>
          <w:p>
            <w:pPr>
              <w:pStyle w:val="ListParagraph"/>
              <w:numPr>
                <w:ilvl w:val="0"/>
                <w:numId w:val="1"/>
              </w:numPr>
              <w:rPr/>
            </w:pPr>
            <w:r>
              <w:rPr>
                <w:rFonts w:cs="Calibri" w:ascii="Arial Narrow" w:hAnsi="Arial Narrow"/>
                <w:b/>
                <w:bCs/>
                <w:sz w:val="16"/>
                <w:szCs w:val="16"/>
              </w:rPr>
              <w:t xml:space="preserve">Character Appraisal </w:t>
            </w:r>
            <w:r>
              <w:rPr>
                <w:rFonts w:cs="Calibri" w:ascii="Arial Narrow" w:hAnsi="Arial Narrow"/>
                <w:sz w:val="16"/>
                <w:szCs w:val="16"/>
              </w:rPr>
              <w:t>– Any appraisal would be based on the Oxford Assessment / RTPI standard and consider site density, local vernacular, gaps between buildings, design/style, vegetation, listed buildings, historic buildings and monuments.</w:t>
            </w:r>
          </w:p>
          <w:p>
            <w:pPr>
              <w:pStyle w:val="ListParagraph"/>
              <w:numPr>
                <w:ilvl w:val="0"/>
                <w:numId w:val="1"/>
              </w:numPr>
              <w:rPr/>
            </w:pPr>
            <w:r>
              <w:rPr>
                <w:rFonts w:cs="Calibri" w:ascii="Arial Narrow" w:hAnsi="Arial Narrow"/>
                <w:b/>
                <w:bCs/>
                <w:sz w:val="16"/>
                <w:szCs w:val="16"/>
              </w:rPr>
              <w:t>Environmental and sustainability issues</w:t>
            </w:r>
            <w:r>
              <w:rPr>
                <w:rFonts w:cs="Calibri" w:ascii="Arial Narrow" w:hAnsi="Arial Narrow"/>
                <w:sz w:val="16"/>
                <w:szCs w:val="16"/>
              </w:rPr>
              <w:t xml:space="preserve"> (in terms of climate crisis)</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Ian D</w:t>
            </w:r>
          </w:p>
          <w:p>
            <w:pPr>
              <w:pStyle w:val="Normal"/>
              <w:rPr>
                <w:rFonts w:ascii="Arial Narrow" w:hAnsi="Arial Narrow" w:cs="Arial"/>
                <w:sz w:val="16"/>
                <w:szCs w:val="16"/>
              </w:rPr>
            </w:pPr>
            <w:r>
              <w:rPr>
                <w:rFonts w:cs="Arial" w:ascii="Arial Narrow" w:hAnsi="Arial Narrow"/>
                <w:sz w:val="16"/>
                <w:szCs w:val="16"/>
              </w:rPr>
              <w:t>David W</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pPr>
            <w:r>
              <w:rPr>
                <w:rFonts w:cs="Arial" w:ascii="Arial Narrow" w:hAnsi="Arial Narrow"/>
                <w:sz w:val="16"/>
                <w:szCs w:val="16"/>
              </w:rPr>
              <w:t>David W</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pPr>
            <w:r>
              <w:rPr>
                <w:rFonts w:cs="Arial" w:ascii="Arial Narrow" w:hAnsi="Arial Narrow"/>
                <w:sz w:val="16"/>
                <w:szCs w:val="16"/>
              </w:rPr>
              <w:t>David W</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highlight w:val="yellow"/>
              </w:rPr>
            </w:pPr>
            <w:r>
              <w:rPr>
                <w:rFonts w:cs="Arial" w:ascii="Arial Narrow" w:hAnsi="Arial Narrow"/>
                <w:sz w:val="16"/>
                <w:szCs w:val="16"/>
                <w:highlight w:val="yellow"/>
              </w:rPr>
            </w:r>
          </w:p>
          <w:p>
            <w:pPr>
              <w:pStyle w:val="Normal"/>
              <w:rPr/>
            </w:pPr>
            <w:r>
              <w:rPr>
                <w:rFonts w:cs="Arial" w:ascii="Arial Narrow" w:hAnsi="Arial Narrow"/>
                <w:sz w:val="16"/>
                <w:szCs w:val="16"/>
              </w:rPr>
              <w:t>1 April</w:t>
            </w:r>
          </w:p>
          <w:p>
            <w:pPr>
              <w:pStyle w:val="Normal"/>
              <w:rPr>
                <w:rFonts w:ascii="Arial Narrow" w:hAnsi="Arial Narrow" w:cs="Arial"/>
                <w:sz w:val="16"/>
                <w:szCs w:val="16"/>
                <w:highlight w:val="yellow"/>
              </w:rPr>
            </w:pPr>
            <w:r>
              <w:rPr>
                <w:rFonts w:cs="Arial" w:ascii="Arial Narrow" w:hAnsi="Arial Narrow"/>
                <w:sz w:val="16"/>
                <w:szCs w:val="16"/>
              </w:rPr>
              <w:t xml:space="preserve"> </w:t>
            </w:r>
            <w:r>
              <w:rPr>
                <w:rFonts w:cs="Arial" w:ascii="Arial Narrow" w:hAnsi="Arial Narrow"/>
                <w:sz w:val="16"/>
                <w:szCs w:val="16"/>
              </w:rPr>
              <w:t>23</w:t>
            </w:r>
            <w:r>
              <w:rPr>
                <w:rFonts w:cs="Arial" w:ascii="Arial Narrow" w:hAnsi="Arial Narrow"/>
                <w:sz w:val="16"/>
                <w:szCs w:val="16"/>
                <w:vertAlign w:val="superscript"/>
              </w:rPr>
              <w:t>rd</w:t>
            </w:r>
            <w:r>
              <w:rPr>
                <w:rFonts w:cs="Arial" w:ascii="Arial Narrow" w:hAnsi="Arial Narrow"/>
                <w:sz w:val="16"/>
                <w:szCs w:val="16"/>
              </w:rPr>
              <w:t xml:space="preserve"> April</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 xml:space="preserve"> </w:t>
            </w:r>
            <w:r>
              <w:rPr>
                <w:rFonts w:cs="Arial" w:ascii="Arial Narrow" w:hAnsi="Arial Narrow"/>
                <w:sz w:val="16"/>
                <w:szCs w:val="16"/>
              </w:rPr>
              <w:t>20</w:t>
            </w:r>
            <w:r>
              <w:rPr>
                <w:rFonts w:cs="Arial" w:ascii="Arial Narrow" w:hAnsi="Arial Narrow"/>
                <w:sz w:val="16"/>
                <w:szCs w:val="16"/>
                <w:vertAlign w:val="superscript"/>
              </w:rPr>
              <w:t>th</w:t>
            </w:r>
            <w:r>
              <w:rPr>
                <w:rFonts w:cs="Arial" w:ascii="Arial Narrow" w:hAnsi="Arial Narrow"/>
                <w:sz w:val="16"/>
                <w:szCs w:val="16"/>
              </w:rPr>
              <w:t xml:space="preserve"> April</w:t>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Narrow" w:hAnsi="Arial Narrow"/>
                <w:sz w:val="16"/>
                <w:szCs w:val="16"/>
              </w:rPr>
              <w:t>3</w:t>
            </w:r>
          </w:p>
        </w:tc>
        <w:tc>
          <w:tcPr>
            <w:tcW w:w="5630" w:type="dxa"/>
            <w:tcBorders/>
            <w:shd w:color="auto" w:fill="FFFFFF" w:themeFill="background1" w:val="clear"/>
          </w:tcPr>
          <w:p>
            <w:pPr>
              <w:pStyle w:val="Normal"/>
              <w:rPr>
                <w:rFonts w:ascii="Arial Narrow" w:hAnsi="Arial Narrow" w:cs="Arial"/>
                <w:sz w:val="16"/>
                <w:szCs w:val="16"/>
              </w:rPr>
            </w:pPr>
            <w:r>
              <w:rPr>
                <w:rFonts w:cs="Arial" w:ascii="Arial Narrow" w:hAnsi="Arial Narrow"/>
                <w:b/>
                <w:bCs/>
                <w:sz w:val="16"/>
                <w:szCs w:val="16"/>
                <w:u w:val="single"/>
              </w:rPr>
              <w:t>Consultancy Need</w:t>
            </w:r>
            <w:r>
              <w:rPr>
                <w:rFonts w:cs="Arial" w:ascii="Arial Narrow" w:hAnsi="Arial Narrow"/>
                <w:sz w:val="16"/>
                <w:szCs w:val="16"/>
              </w:rPr>
              <w:t xml:space="preserve"> – </w:t>
            </w:r>
            <w:r>
              <w:rPr>
                <w:rFonts w:cs="Arial" w:ascii="Arial Narrow" w:hAnsi="Arial Narrow"/>
                <w:sz w:val="16"/>
                <w:szCs w:val="16"/>
                <w:u w:val="single"/>
              </w:rPr>
              <w:t>subject to budgetary approval and grant funding</w:t>
            </w:r>
            <w:r>
              <w:rPr>
                <w:rFonts w:cs="Arial" w:ascii="Arial Narrow" w:hAnsi="Arial Narrow"/>
                <w:sz w:val="16"/>
                <w:szCs w:val="16"/>
              </w:rPr>
              <w:t xml:space="preserve">  it was agreed that character, landscape, public rights of way and ecological assessments will be required. It was also agreed BP and Liz Allen should be instructed for the character and landscape assessments. Either consultant could complete the rights of way assessment and could decide to report jointly. It was further agreed  BP are to be instructed to advise on the overall NDP process including compiling evidence and policies, health checking and submissions of the various stages.</w:t>
            </w:r>
          </w:p>
          <w:p>
            <w:pPr>
              <w:pStyle w:val="Normal"/>
              <w:rPr>
                <w:rFonts w:ascii="Arial Narrow" w:hAnsi="Arial Narrow" w:cs="Arial"/>
                <w:sz w:val="16"/>
                <w:szCs w:val="16"/>
                <w:u w:val="single"/>
              </w:rPr>
            </w:pPr>
            <w:r>
              <w:rPr>
                <w:rFonts w:cs="Arial" w:ascii="Arial Narrow" w:hAnsi="Arial Narrow"/>
                <w:sz w:val="16"/>
                <w:szCs w:val="16"/>
              </w:rPr>
              <w:t xml:space="preserve">DW agreed to look into ecology / environmental consultants. </w:t>
            </w:r>
          </w:p>
          <w:p>
            <w:pPr>
              <w:pStyle w:val="Normal"/>
              <w:rPr>
                <w:rFonts w:ascii="Arial" w:hAnsi="Arial" w:cs="Arial"/>
                <w:sz w:val="16"/>
                <w:szCs w:val="16"/>
              </w:rPr>
            </w:pPr>
            <w:r>
              <w:rPr>
                <w:rFonts w:cs="Arial" w:ascii="Arial" w:hAnsi="Arial"/>
                <w:sz w:val="16"/>
                <w:szCs w:val="16"/>
              </w:rPr>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 xml:space="preserve">NDP SG </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David W</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23rd April</w:t>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Narrow" w:hAnsi="Arial Narrow"/>
                <w:sz w:val="16"/>
                <w:szCs w:val="16"/>
              </w:rPr>
              <w:t>4</w:t>
            </w:r>
          </w:p>
        </w:tc>
        <w:tc>
          <w:tcPr>
            <w:tcW w:w="5630" w:type="dxa"/>
            <w:tcBorders/>
            <w:shd w:color="auto" w:fill="FFFFFF" w:themeFill="background1" w:val="clear"/>
          </w:tcPr>
          <w:p>
            <w:pPr>
              <w:pStyle w:val="Normal"/>
              <w:rPr>
                <w:rFonts w:ascii="Arial" w:hAnsi="Arial" w:cs="Arial"/>
                <w:sz w:val="16"/>
                <w:szCs w:val="16"/>
              </w:rPr>
            </w:pPr>
            <w:r>
              <w:rPr>
                <w:rFonts w:cs="Arial" w:ascii="Arial Narrow" w:hAnsi="Arial Narrow"/>
                <w:b/>
                <w:bCs/>
                <w:sz w:val="16"/>
                <w:szCs w:val="16"/>
                <w:u w:val="single"/>
              </w:rPr>
              <w:t>Matters Arising</w:t>
            </w:r>
            <w:r>
              <w:rPr>
                <w:rFonts w:cs="Arial" w:ascii="Arial Narrow" w:hAnsi="Arial Narrow"/>
                <w:sz w:val="16"/>
                <w:szCs w:val="16"/>
              </w:rPr>
              <w:t xml:space="preserve"> - DW thanked DB for reviewing Reading Borough Council’s Local Plan and Transport Strategy and working with him on the NDP Background document.  DB stated consultants should be instructed ASAP and that the Vision and Objectives are needed quickly</w:t>
            </w:r>
            <w:r>
              <w:rPr>
                <w:rFonts w:cs="Arial" w:ascii="Arial Narrow" w:hAnsi="Arial Narrow"/>
                <w:sz w:val="16"/>
                <w:szCs w:val="16"/>
                <w:highlight w:val="yellow"/>
              </w:rPr>
              <w:t>. DB felt that the NDP should focus more on environmental issues as a tool to prevent new housing and infrastructure schemes being permitted</w:t>
            </w:r>
            <w:r>
              <w:rPr>
                <w:rFonts w:cs="Arial" w:ascii="Arial Narrow" w:hAnsi="Arial Narrow"/>
                <w:sz w:val="16"/>
                <w:szCs w:val="16"/>
              </w:rPr>
              <w:t xml:space="preserve">. </w:t>
            </w:r>
          </w:p>
        </w:tc>
        <w:tc>
          <w:tcPr>
            <w:tcW w:w="1642" w:type="dxa"/>
            <w:tcBorders/>
            <w:shd w:color="auto" w:fill="FFFFFF" w:themeFill="background1" w:val="clear"/>
          </w:tcPr>
          <w:p>
            <w:pPr>
              <w:pStyle w:val="Normal"/>
              <w:rPr>
                <w:rFonts w:ascii="Arial" w:hAnsi="Arial" w:cs="Arial"/>
                <w:sz w:val="16"/>
                <w:szCs w:val="16"/>
              </w:rPr>
            </w:pPr>
            <w:r>
              <w:rPr>
                <w:rFonts w:cs="Arial" w:ascii="Arial Narrow" w:hAnsi="Arial Narrow"/>
                <w:sz w:val="16"/>
                <w:szCs w:val="16"/>
              </w:rPr>
              <w:t>NDP SG</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313" w:hRule="atLeast"/>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 xml:space="preserve">5 </w:t>
            </w:r>
          </w:p>
        </w:tc>
        <w:tc>
          <w:tcPr>
            <w:tcW w:w="5630" w:type="dxa"/>
            <w:tcBorders/>
            <w:shd w:color="auto" w:fill="FFFFFF" w:themeFill="background1" w:val="clear"/>
          </w:tcPr>
          <w:p>
            <w:pPr>
              <w:pStyle w:val="Normal"/>
              <w:rPr>
                <w:rFonts w:ascii="Arial" w:hAnsi="Arial" w:cs="Arial"/>
                <w:sz w:val="16"/>
                <w:szCs w:val="16"/>
              </w:rPr>
            </w:pPr>
            <w:r>
              <w:rPr>
                <w:rFonts w:cs="Arial" w:ascii="Arial Narrow" w:hAnsi="Arial Narrow"/>
                <w:b/>
                <w:bCs/>
                <w:sz w:val="16"/>
                <w:szCs w:val="16"/>
                <w:u w:val="single"/>
              </w:rPr>
              <w:t>Further Progress</w:t>
            </w:r>
            <w:r>
              <w:rPr>
                <w:rFonts w:cs="Arial" w:ascii="Arial Narrow" w:hAnsi="Arial Narrow"/>
                <w:sz w:val="16"/>
                <w:szCs w:val="16"/>
              </w:rPr>
              <w:t xml:space="preserve">  - DW agreed to draft the Terms of Reference document with assistance from steering group members as and when required. </w:t>
            </w:r>
          </w:p>
        </w:tc>
        <w:tc>
          <w:tcPr>
            <w:tcW w:w="1642" w:type="dxa"/>
            <w:tcBorders/>
            <w:shd w:color="auto" w:fill="FFFFFF" w:themeFill="background1" w:val="clear"/>
          </w:tcPr>
          <w:p>
            <w:pPr>
              <w:pStyle w:val="Normal"/>
              <w:rPr>
                <w:rFonts w:ascii="Arial" w:hAnsi="Arial" w:cs="Arial"/>
                <w:sz w:val="16"/>
                <w:szCs w:val="16"/>
              </w:rPr>
            </w:pPr>
            <w:r>
              <w:rPr>
                <w:rFonts w:cs="Arial" w:ascii="Arial Narrow" w:hAnsi="Arial Narrow"/>
                <w:sz w:val="16"/>
                <w:szCs w:val="16"/>
              </w:rPr>
              <w:t>David W / NDP SG</w:t>
            </w:r>
          </w:p>
        </w:tc>
        <w:tc>
          <w:tcPr>
            <w:tcW w:w="1199" w:type="dxa"/>
            <w:tcBorders/>
            <w:shd w:color="auto" w:fill="FFFFFF" w:themeFill="background1" w:val="clear"/>
          </w:tcPr>
          <w:p>
            <w:pPr>
              <w:pStyle w:val="Normal"/>
              <w:rPr/>
            </w:pPr>
            <w:r>
              <w:rPr>
                <w:rFonts w:cs="Arial" w:ascii="Arial Narrow" w:hAnsi="Arial Narrow"/>
                <w:sz w:val="16"/>
                <w:szCs w:val="16"/>
              </w:rPr>
              <w:t>Next meeting</w:t>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6</w:t>
            </w:r>
          </w:p>
        </w:tc>
        <w:tc>
          <w:tcPr>
            <w:tcW w:w="5630" w:type="dxa"/>
            <w:tcBorders/>
            <w:shd w:color="auto" w:fill="FFFFFF" w:themeFill="background1" w:val="clear"/>
          </w:tcPr>
          <w:p>
            <w:pPr>
              <w:pStyle w:val="Normal"/>
              <w:rPr/>
            </w:pPr>
            <w:r>
              <w:rPr>
                <w:rFonts w:ascii="Arial Narrow" w:hAnsi="Arial Narrow"/>
                <w:b/>
                <w:bCs/>
                <w:sz w:val="16"/>
                <w:szCs w:val="16"/>
                <w:u w:val="single"/>
              </w:rPr>
              <w:t>Questionnaire</w:t>
            </w:r>
            <w:r>
              <w:rPr>
                <w:rFonts w:cs="Arial" w:ascii="Arial Narrow" w:hAnsi="Arial Narrow"/>
                <w:sz w:val="16"/>
                <w:szCs w:val="16"/>
              </w:rPr>
              <w:t xml:space="preserve"> – For the benefit of the proposed house survey HC asked that where residents are willing to give the</w:t>
            </w:r>
            <w:r>
              <w:rPr>
                <w:rFonts w:cs="Arial" w:ascii="Arial Narrow" w:hAnsi="Arial Narrow"/>
                <w:sz w:val="16"/>
                <w:szCs w:val="16"/>
              </w:rPr>
              <w:t>ir</w:t>
            </w:r>
            <w:r>
              <w:rPr>
                <w:rFonts w:cs="Arial" w:ascii="Arial Narrow" w:hAnsi="Arial Narrow"/>
                <w:sz w:val="16"/>
                <w:szCs w:val="16"/>
              </w:rPr>
              <w:t xml:space="preserve"> contact details on the questionnaire it would be useful if they are asked to state the number bedrooms their dwelling has and give an approximate date of construction if known. DW to Discuss with CM. HC has prepared a draft house survey check list and will forward to DW though acknowledged the Character Assessment may supersede the need for the house survey now.</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 xml:space="preserve">David W </w:t>
            </w:r>
          </w:p>
          <w:p>
            <w:pPr>
              <w:pStyle w:val="Normal"/>
              <w:rPr>
                <w:rFonts w:ascii="Arial Narrow" w:hAnsi="Arial Narrow" w:cs="Arial"/>
                <w:sz w:val="16"/>
                <w:szCs w:val="16"/>
              </w:rPr>
            </w:pPr>
            <w:r>
              <w:rPr>
                <w:rFonts w:cs="Arial" w:ascii="Arial Narrow" w:hAnsi="Arial Narrow"/>
                <w:sz w:val="16"/>
                <w:szCs w:val="16"/>
              </w:rPr>
              <w:t>Claire M</w:t>
            </w:r>
          </w:p>
          <w:p>
            <w:pPr>
              <w:pStyle w:val="Normal"/>
              <w:rPr>
                <w:rFonts w:ascii="Arial" w:hAnsi="Arial" w:cs="Arial"/>
                <w:sz w:val="16"/>
                <w:szCs w:val="16"/>
              </w:rPr>
            </w:pPr>
            <w:r>
              <w:rPr>
                <w:rFonts w:cs="Arial" w:ascii="Arial Narrow" w:hAnsi="Arial Narrow"/>
                <w:sz w:val="16"/>
                <w:szCs w:val="16"/>
              </w:rPr>
              <w:t xml:space="preserve">Howard C </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ASAP</w:t>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7</w:t>
            </w:r>
          </w:p>
        </w:tc>
        <w:tc>
          <w:tcPr>
            <w:tcW w:w="5630" w:type="dxa"/>
            <w:tcBorders/>
            <w:shd w:color="auto" w:fill="FFFFFF" w:themeFill="background1" w:val="clear"/>
          </w:tcPr>
          <w:p>
            <w:pPr>
              <w:pStyle w:val="Normal"/>
              <w:rPr>
                <w:rFonts w:ascii="Arial Narrow" w:hAnsi="Arial Narrow"/>
                <w:sz w:val="16"/>
                <w:szCs w:val="16"/>
              </w:rPr>
            </w:pPr>
            <w:r>
              <w:rPr>
                <w:rFonts w:ascii="Arial Narrow" w:hAnsi="Arial Narrow"/>
                <w:b/>
                <w:bCs/>
                <w:sz w:val="16"/>
                <w:szCs w:val="16"/>
                <w:u w:val="single"/>
              </w:rPr>
              <w:t>Future roles and activities</w:t>
            </w:r>
            <w:r>
              <w:rPr>
                <w:rFonts w:ascii="Arial Narrow" w:hAnsi="Arial Narrow"/>
                <w:sz w:val="16"/>
                <w:szCs w:val="16"/>
              </w:rPr>
              <w:t xml:space="preserve"> – Agreed that:</w:t>
            </w:r>
          </w:p>
          <w:p>
            <w:pPr>
              <w:pStyle w:val="Normal"/>
              <w:rPr>
                <w:rFonts w:ascii="Arial Narrow" w:hAnsi="Arial Narrow"/>
                <w:sz w:val="16"/>
                <w:szCs w:val="16"/>
              </w:rPr>
            </w:pPr>
            <w:r>
              <w:rPr>
                <w:rFonts w:ascii="Arial Narrow" w:hAnsi="Arial Narrow"/>
                <w:sz w:val="16"/>
                <w:szCs w:val="16"/>
              </w:rPr>
              <w:t>Nick Marks to lead minerals, flood risk, and the Thames path as an amenity.</w:t>
            </w:r>
          </w:p>
          <w:p>
            <w:pPr>
              <w:pStyle w:val="Normal"/>
              <w:rPr>
                <w:rFonts w:ascii="Arial Narrow" w:hAnsi="Arial Narrow"/>
                <w:sz w:val="16"/>
                <w:szCs w:val="16"/>
              </w:rPr>
            </w:pPr>
            <w:r>
              <w:rPr>
                <w:rFonts w:ascii="Arial Narrow" w:hAnsi="Arial Narrow"/>
                <w:sz w:val="16"/>
                <w:szCs w:val="16"/>
              </w:rPr>
              <w:t>Howard Crews – to be SODC planning lead.</w:t>
            </w:r>
          </w:p>
        </w:tc>
        <w:tc>
          <w:tcPr>
            <w:tcW w:w="1642" w:type="dxa"/>
            <w:tcBorders/>
            <w:shd w:color="auto" w:fill="FFFFFF" w:themeFill="background1" w:val="clear"/>
          </w:tcPr>
          <w:p>
            <w:pPr>
              <w:pStyle w:val="Normal"/>
              <w:rPr>
                <w:rFonts w:ascii="Arial Narrow" w:hAnsi="Arial Narrow"/>
                <w:sz w:val="16"/>
                <w:szCs w:val="16"/>
              </w:rPr>
            </w:pPr>
            <w:r>
              <w:rPr>
                <w:rFonts w:ascii="Arial Narrow" w:hAnsi="Arial Narrow"/>
                <w:sz w:val="16"/>
                <w:szCs w:val="16"/>
              </w:rPr>
              <w:t>NDP SG</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 xml:space="preserve">Ongoing </w:t>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8</w:t>
            </w:r>
          </w:p>
        </w:tc>
        <w:tc>
          <w:tcPr>
            <w:tcW w:w="5630" w:type="dxa"/>
            <w:tcBorders/>
            <w:shd w:color="auto" w:fill="FFFFFF" w:themeFill="background1" w:val="clear"/>
          </w:tcPr>
          <w:p>
            <w:pPr>
              <w:pStyle w:val="Normal"/>
              <w:tabs>
                <w:tab w:val="left" w:pos="1102" w:leader="none"/>
              </w:tabs>
              <w:rPr>
                <w:rFonts w:ascii="Arial" w:hAnsi="Arial" w:cs="Arial"/>
                <w:b/>
                <w:b/>
                <w:bCs/>
                <w:sz w:val="16"/>
                <w:szCs w:val="16"/>
                <w:u w:val="single"/>
              </w:rPr>
            </w:pPr>
            <w:r>
              <w:rPr>
                <w:rFonts w:cs="Arial" w:ascii="Arial Narrow" w:hAnsi="Arial Narrow"/>
                <w:b/>
                <w:bCs/>
                <w:sz w:val="16"/>
                <w:szCs w:val="16"/>
                <w:u w:val="single"/>
              </w:rPr>
              <w:t xml:space="preserve">Next Steps / AOB </w:t>
            </w:r>
          </w:p>
          <w:p>
            <w:pPr>
              <w:pStyle w:val="Normal"/>
              <w:rPr>
                <w:rFonts w:ascii="Arial Narrow" w:hAnsi="Arial Narrow"/>
                <w:sz w:val="16"/>
                <w:szCs w:val="16"/>
              </w:rPr>
            </w:pPr>
            <w:r>
              <w:rPr>
                <w:rFonts w:ascii="Arial Narrow" w:hAnsi="Arial Narrow"/>
                <w:sz w:val="16"/>
                <w:szCs w:val="16"/>
              </w:rPr>
              <w:t xml:space="preserve">Whilst acknowledging the current Corona Virus situation it was agreed the NDP process can still continue with the steering group working remotely. </w:t>
            </w:r>
          </w:p>
        </w:tc>
        <w:tc>
          <w:tcPr>
            <w:tcW w:w="1642" w:type="dxa"/>
            <w:tcBorders/>
            <w:shd w:color="auto" w:fill="FFFFFF" w:themeFill="background1" w:val="clear"/>
          </w:tcPr>
          <w:p>
            <w:pPr>
              <w:pStyle w:val="Normal"/>
              <w:rPr>
                <w:rFonts w:ascii="Arial" w:hAnsi="Arial" w:cs="Arial"/>
                <w:sz w:val="16"/>
                <w:szCs w:val="16"/>
              </w:rPr>
            </w:pPr>
            <w:r>
              <w:rPr>
                <w:rFonts w:cs="Arial" w:ascii="Arial Narrow" w:hAnsi="Arial Narrow"/>
                <w:sz w:val="16"/>
                <w:szCs w:val="16"/>
              </w:rPr>
              <w:t>NDP SG</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9"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9</w:t>
            </w:r>
          </w:p>
        </w:tc>
        <w:tc>
          <w:tcPr>
            <w:tcW w:w="5630" w:type="dxa"/>
            <w:tcBorders/>
            <w:shd w:color="auto" w:fill="FFFFFF" w:themeFill="background1" w:val="clear"/>
          </w:tcPr>
          <w:p>
            <w:pPr>
              <w:pStyle w:val="Normal"/>
              <w:rPr>
                <w:rFonts w:ascii="Arial Narrow" w:hAnsi="Arial Narrow"/>
                <w:b/>
                <w:b/>
                <w:bCs/>
              </w:rPr>
            </w:pPr>
            <w:r>
              <w:rPr>
                <w:rFonts w:cs="Arial" w:ascii="Arial Narrow" w:hAnsi="Arial Narrow"/>
                <w:b/>
                <w:bCs/>
                <w:sz w:val="16"/>
                <w:szCs w:val="16"/>
                <w:u w:val="single"/>
              </w:rPr>
              <w:t>Next Meeting</w:t>
            </w:r>
            <w:r>
              <w:rPr>
                <w:rFonts w:cs="Arial" w:ascii="Arial Narrow" w:hAnsi="Arial Narrow"/>
                <w:b/>
                <w:bCs/>
                <w:sz w:val="16"/>
                <w:szCs w:val="16"/>
              </w:rPr>
              <w:t xml:space="preserve">  Thursday 23</w:t>
            </w:r>
            <w:r>
              <w:rPr>
                <w:rFonts w:cs="Arial" w:ascii="Arial Narrow" w:hAnsi="Arial Narrow"/>
                <w:b/>
                <w:bCs/>
                <w:sz w:val="16"/>
                <w:szCs w:val="16"/>
                <w:vertAlign w:val="superscript"/>
              </w:rPr>
              <w:t>rd</w:t>
            </w:r>
            <w:r>
              <w:rPr>
                <w:rFonts w:cs="Arial" w:ascii="Arial Narrow" w:hAnsi="Arial Narrow"/>
                <w:b/>
                <w:bCs/>
                <w:sz w:val="16"/>
                <w:szCs w:val="16"/>
              </w:rPr>
              <w:t xml:space="preserve"> April, 5pm via Skype.</w:t>
            </w:r>
          </w:p>
        </w:tc>
        <w:tc>
          <w:tcPr>
            <w:tcW w:w="1642" w:type="dxa"/>
            <w:tcBorders/>
            <w:shd w:color="auto" w:fill="FFFFFF" w:themeFill="background1" w:val="clear"/>
          </w:tcPr>
          <w:p>
            <w:pPr>
              <w:pStyle w:val="Normal"/>
              <w:rPr>
                <w:rFonts w:ascii="Arial" w:hAnsi="Arial" w:cs="Arial"/>
                <w:sz w:val="16"/>
                <w:szCs w:val="16"/>
              </w:rPr>
            </w:pPr>
            <w:r>
              <w:rPr>
                <w:rFonts w:cs="Arial" w:ascii="Arial Narrow" w:hAnsi="Arial Narrow"/>
                <w:sz w:val="16"/>
                <w:szCs w:val="16"/>
              </w:rPr>
              <w:t>NDP SG</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23</w:t>
            </w:r>
            <w:r>
              <w:rPr>
                <w:rFonts w:cs="Arial" w:ascii="Arial Narrow" w:hAnsi="Arial Narrow"/>
                <w:sz w:val="16"/>
                <w:szCs w:val="16"/>
                <w:vertAlign w:val="superscript"/>
              </w:rPr>
              <w:t>rd</w:t>
            </w:r>
            <w:r>
              <w:rPr>
                <w:rFonts w:cs="Arial" w:ascii="Arial Narrow" w:hAnsi="Arial Narrow"/>
                <w:sz w:val="16"/>
                <w:szCs w:val="16"/>
              </w:rPr>
              <w:t xml:space="preserve"> April 2020</w:t>
            </w:r>
          </w:p>
        </w:tc>
        <w:tc>
          <w:tcPr>
            <w:tcW w:w="223"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bl>
    <w:p>
      <w:pPr>
        <w:pStyle w:val="Normal"/>
        <w:rPr>
          <w:rFonts w:ascii="Arial" w:hAnsi="Arial" w:cs="Arial"/>
          <w:sz w:val="16"/>
          <w:szCs w:val="16"/>
        </w:rPr>
      </w:pPr>
      <w:r>
        <w:rPr/>
        <w:tab/>
      </w:r>
      <w:r>
        <w:rPr>
          <w:rFonts w:cs="Arial" w:ascii="Arial" w:hAnsi="Arial"/>
          <w:sz w:val="16"/>
          <w:szCs w:val="16"/>
        </w:rPr>
        <w:t xml:space="preserve"> </w:t>
      </w:r>
    </w:p>
    <w:p>
      <w:pPr>
        <w:pStyle w:val="Normal"/>
        <w:ind w:left="-567" w:hanging="0"/>
        <w:rPr/>
      </w:pPr>
      <w:r>
        <w:rPr/>
      </w:r>
    </w:p>
    <w:p>
      <w:pPr>
        <w:pStyle w:val="Normal"/>
        <w:ind w:left="-567" w:hanging="0"/>
        <w:rPr/>
      </w:pPr>
      <w:r>
        <w:rPr/>
      </w:r>
    </w:p>
    <w:sectPr>
      <w:type w:val="nextPage"/>
      <w:pgSz w:w="11906" w:h="16838"/>
      <w:pgMar w:left="709"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Narrow">
    <w:charset w:val="01"/>
    <w:family w:val="roman"/>
    <w:pitch w:val="default"/>
  </w:font>
  <w:font w:name="Lucida Grande">
    <w:charset w:val="01"/>
    <w:family w:val="roman"/>
    <w:pitch w:val="default"/>
  </w:font>
  <w:font w:name="Arial">
    <w:charset w:val="01"/>
    <w:family w:val="roman"/>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705d98"/>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fill="E1DFDD"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Emphasis">
    <w:name w:val="Emphasis"/>
    <w:qFormat/>
    <w:rPr>
      <w:i/>
      <w:iCs/>
    </w:rPr>
  </w:style>
  <w:style w:type="character" w:styleId="ListLabel19">
    <w:name w:val="ListLabel 19"/>
    <w:qFormat/>
    <w:rPr>
      <w:rFonts w:ascii="Arial Narrow" w:hAnsi="Arial Narrow" w:cs="Symbol"/>
      <w:sz w:val="16"/>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Narrow" w:hAnsi="Arial Narrow" w:cs="Calibri"/>
      <w:b w:val="false"/>
      <w:i w:val="false"/>
      <w:caps w:val="false"/>
      <w:smallCaps w:val="false"/>
      <w:color w:val="3C4043"/>
      <w:spacing w:val="0"/>
      <w:sz w:val="16"/>
      <w:szCs w:val="16"/>
    </w:rPr>
  </w:style>
  <w:style w:type="paragraph" w:styleId="Heading" w:customStyle="1">
    <w:name w:val="Heading"/>
    <w:basedOn w:val="Normal"/>
    <w:next w:val="TextBody"/>
    <w:qFormat/>
    <w:pPr>
      <w:keepNext w:val="true"/>
      <w:spacing w:before="240" w:after="120"/>
    </w:pPr>
    <w:rPr>
      <w:rFonts w:ascii="Lucida Grande" w:hAnsi="Lucida Grande"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Grande" w:hAnsi="Lucida Grande"/>
    </w:rPr>
  </w:style>
  <w:style w:type="paragraph" w:styleId="Caption">
    <w:name w:val="Caption"/>
    <w:basedOn w:val="Normal"/>
    <w:qFormat/>
    <w:pPr>
      <w:suppressLineNumbers/>
      <w:spacing w:before="120" w:after="120"/>
    </w:pPr>
    <w:rPr>
      <w:rFonts w:ascii="Lucida Grande" w:hAnsi="Lucida Grande"/>
      <w:i/>
      <w:iCs/>
      <w:sz w:val="22"/>
      <w:szCs w:val="24"/>
    </w:rPr>
  </w:style>
  <w:style w:type="paragraph" w:styleId="Index" w:customStyle="1">
    <w:name w:val="Index"/>
    <w:basedOn w:val="Normal"/>
    <w:qFormat/>
    <w:pPr>
      <w:suppressLineNumbers/>
    </w:pPr>
    <w:rPr>
      <w:rFonts w:ascii="Lucida Grande" w:hAnsi="Lucida Grande"/>
    </w:rPr>
  </w:style>
  <w:style w:type="paragraph" w:styleId="Caption1">
    <w:name w:val="caption"/>
    <w:basedOn w:val="Normal"/>
    <w:qFormat/>
    <w:pPr>
      <w:suppressLineNumbers/>
      <w:spacing w:before="120" w:after="120"/>
    </w:pPr>
    <w:rPr>
      <w:rFonts w:ascii="Lucida Grande" w:hAnsi="Lucida Grande"/>
      <w:i/>
      <w:iCs/>
      <w:szCs w:val="24"/>
    </w:rPr>
  </w:style>
  <w:style w:type="paragraph" w:styleId="ListParagraph">
    <w:name w:val="List Paragraph"/>
    <w:basedOn w:val="Normal"/>
    <w:uiPriority w:val="34"/>
    <w:qFormat/>
    <w:rsid w:val="00ff625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074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s.southoxon.gov.uk/gis/?cat=appl&amp;ref=4"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2.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4A279E-2D65-4B7A-9629-737B3604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LibreOffice/6.0.2.1$MacOSX_X86_64 LibreOffice_project/f7f06a8f319e4b62f9bc5095aa112a65d2f3ac89</Application>
  <Pages>2</Pages>
  <Words>918</Words>
  <Characters>4840</Characters>
  <CharactersWithSpaces>5726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2020-03-27T12:49:00Z</dcterms:created>
  <dc:creator>Ian Dick</dc:creator>
  <dc:description/>
  <dc:language>en-GB</dc:language>
  <cp:lastModifiedBy>david woodward</cp:lastModifiedBy>
  <cp:lastPrinted>2020-04-23T16:00:40Z</cp:lastPrinted>
  <dcterms:modified xsi:type="dcterms:W3CDTF">2020-04-23T16:15:02Z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