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90"/>
        <w:gridCol w:w="5735"/>
        <w:gridCol w:w="1314"/>
        <w:gridCol w:w="1133"/>
      </w:tblGrid>
      <w:tr w:rsidR="005B7DC3" w14:paraId="60683F63" w14:textId="77777777" w:rsidTr="005F1BA7">
        <w:trPr>
          <w:trHeight w:val="439"/>
        </w:trPr>
        <w:tc>
          <w:tcPr>
            <w:tcW w:w="9072" w:type="dxa"/>
            <w:gridSpan w:val="4"/>
            <w:shd w:val="clear" w:color="auto" w:fill="auto"/>
          </w:tcPr>
          <w:p w14:paraId="0290CF8E" w14:textId="45D19969" w:rsidR="005B7DC3" w:rsidRPr="003368FF" w:rsidRDefault="001C4949">
            <w:pPr>
              <w:jc w:val="center"/>
              <w:rPr>
                <w:sz w:val="24"/>
                <w:szCs w:val="24"/>
              </w:rPr>
            </w:pPr>
            <w:r w:rsidRPr="003368FF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Eye &amp; Dunsden NDP Steering Group Meeting Minutes </w:t>
            </w:r>
            <w:r w:rsidRPr="003368FF">
              <w:rPr>
                <w:rFonts w:ascii="Arial" w:hAnsi="Arial" w:cs="Arial"/>
                <w:color w:val="4472C4" w:themeColor="accent1"/>
                <w:sz w:val="24"/>
                <w:szCs w:val="24"/>
              </w:rPr>
              <w:br/>
            </w:r>
            <w:r w:rsidR="001843B2" w:rsidRPr="003368FF">
              <w:rPr>
                <w:rFonts w:ascii="Arial" w:hAnsi="Arial" w:cs="Arial"/>
                <w:color w:val="4472C4" w:themeColor="accent1"/>
                <w:sz w:val="24"/>
                <w:szCs w:val="24"/>
              </w:rPr>
              <w:t>1</w:t>
            </w:r>
            <w:r w:rsidR="005D691B">
              <w:rPr>
                <w:rFonts w:ascii="Arial" w:hAnsi="Arial" w:cs="Arial"/>
                <w:color w:val="4472C4" w:themeColor="accent1"/>
                <w:sz w:val="24"/>
                <w:szCs w:val="24"/>
              </w:rPr>
              <w:t>4</w:t>
            </w:r>
            <w:r w:rsidR="005D691B" w:rsidRPr="005D691B">
              <w:rPr>
                <w:rFonts w:ascii="Arial" w:hAnsi="Arial" w:cs="Arial"/>
                <w:color w:val="4472C4" w:themeColor="accent1"/>
                <w:sz w:val="24"/>
                <w:szCs w:val="24"/>
                <w:vertAlign w:val="superscript"/>
              </w:rPr>
              <w:t>th</w:t>
            </w:r>
            <w:r w:rsidR="005D691B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August</w:t>
            </w:r>
            <w:r w:rsidR="003368FF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</w:t>
            </w:r>
            <w:r w:rsidR="006C6ABD" w:rsidRPr="003368FF">
              <w:rPr>
                <w:rFonts w:ascii="Arial" w:hAnsi="Arial" w:cs="Arial"/>
                <w:color w:val="4472C4" w:themeColor="accent1"/>
                <w:sz w:val="24"/>
                <w:szCs w:val="24"/>
              </w:rPr>
              <w:t>2023</w:t>
            </w:r>
            <w:r w:rsidR="00EB62C9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</w:t>
            </w:r>
          </w:p>
          <w:p w14:paraId="0877363C" w14:textId="77777777" w:rsidR="005B7DC3" w:rsidRPr="003368FF" w:rsidRDefault="005B7D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D0D" w:rsidRPr="00444D0D" w14:paraId="0B320408" w14:textId="77777777" w:rsidTr="00301E69">
        <w:trPr>
          <w:trHeight w:val="950"/>
        </w:trPr>
        <w:tc>
          <w:tcPr>
            <w:tcW w:w="9072" w:type="dxa"/>
            <w:gridSpan w:val="4"/>
            <w:shd w:val="clear" w:color="auto" w:fill="auto"/>
          </w:tcPr>
          <w:p w14:paraId="22D1ED88" w14:textId="44EB1D84" w:rsidR="00DE4443" w:rsidRPr="00444D0D" w:rsidRDefault="00000000">
            <w:pPr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444D0D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Attendees: </w:t>
            </w:r>
            <w:r w:rsidR="001C4949"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John Plumer (Chair)</w:t>
            </w:r>
            <w:r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,</w:t>
            </w:r>
            <w:r w:rsidR="001407D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Howard Crews</w:t>
            </w:r>
            <w:r w:rsidR="003368FF"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  <w:r w:rsidR="001843B2"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="003368FF"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By Zoom: </w:t>
            </w:r>
            <w:r w:rsidR="001407D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David Woodward, </w:t>
            </w:r>
            <w:r w:rsidR="003368FF"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David Breeze, Ian Dick</w:t>
            </w:r>
            <w:r w:rsidR="00137B88"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, Deborah Simmons, Nick M</w:t>
            </w:r>
            <w:r w:rsidR="00E5515F"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arks</w:t>
            </w:r>
            <w:r w:rsidR="001407DD">
              <w:rPr>
                <w:rFonts w:ascii="Arial Narrow" w:hAnsi="Arial Narrow" w:cs="Arial"/>
                <w:color w:val="auto"/>
                <w:sz w:val="20"/>
                <w:szCs w:val="20"/>
              </w:rPr>
              <w:t>, Suzanne Abrahams.</w:t>
            </w:r>
          </w:p>
          <w:p w14:paraId="17FF0D96" w14:textId="0AD8227B" w:rsidR="00B77A8D" w:rsidRPr="00444D0D" w:rsidRDefault="00000000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44D0D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Apologies:</w:t>
            </w:r>
            <w:r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="00137B88"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Richard Berkeley, </w:t>
            </w:r>
            <w:r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Mandy Sermon</w:t>
            </w:r>
            <w:r w:rsidR="003368FF"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</w:p>
          <w:p w14:paraId="725392C2" w14:textId="0ED82AAF" w:rsidR="005B7DC3" w:rsidRPr="00444D0D" w:rsidRDefault="00000000" w:rsidP="00B77A8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All members are requested to be ready to report back on their actions at the </w:t>
            </w:r>
            <w:r w:rsidR="00DB4A65">
              <w:rPr>
                <w:rFonts w:ascii="Arial Narrow" w:hAnsi="Arial Narrow" w:cs="Arial"/>
                <w:color w:val="auto"/>
                <w:sz w:val="20"/>
                <w:szCs w:val="20"/>
              </w:rPr>
              <w:t>earliest opportunity</w:t>
            </w:r>
            <w:r w:rsidRPr="00444D0D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</w:p>
        </w:tc>
      </w:tr>
      <w:tr w:rsidR="00444D0D" w:rsidRPr="00444D0D" w14:paraId="35E9FC9C" w14:textId="77777777" w:rsidTr="005F1BA7">
        <w:trPr>
          <w:trHeight w:val="251"/>
        </w:trPr>
        <w:tc>
          <w:tcPr>
            <w:tcW w:w="890" w:type="dxa"/>
            <w:shd w:val="clear" w:color="auto" w:fill="8EAADB" w:themeFill="accent1" w:themeFillTint="99"/>
          </w:tcPr>
          <w:p w14:paraId="18D15B95" w14:textId="77777777" w:rsidR="005B7DC3" w:rsidRPr="00444D0D" w:rsidRDefault="005B7DC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35" w:type="dxa"/>
            <w:shd w:val="clear" w:color="auto" w:fill="8EAADB" w:themeFill="accent1" w:themeFillTint="99"/>
          </w:tcPr>
          <w:p w14:paraId="32B33135" w14:textId="77777777" w:rsidR="005B7DC3" w:rsidRPr="00444D0D" w:rsidRDefault="0000000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D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MINUTES / ACTION POINTS</w:t>
            </w:r>
          </w:p>
        </w:tc>
        <w:tc>
          <w:tcPr>
            <w:tcW w:w="1314" w:type="dxa"/>
            <w:shd w:val="clear" w:color="auto" w:fill="8EAADB" w:themeFill="accent1" w:themeFillTint="99"/>
          </w:tcPr>
          <w:p w14:paraId="1F737C12" w14:textId="77777777" w:rsidR="005B7DC3" w:rsidRPr="00444D0D" w:rsidRDefault="0000000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D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Who</w:t>
            </w:r>
          </w:p>
        </w:tc>
        <w:tc>
          <w:tcPr>
            <w:tcW w:w="1133" w:type="dxa"/>
            <w:shd w:val="clear" w:color="auto" w:fill="8EAADB" w:themeFill="accent1" w:themeFillTint="99"/>
          </w:tcPr>
          <w:p w14:paraId="2C6B92C3" w14:textId="77777777" w:rsidR="005B7DC3" w:rsidRPr="00444D0D" w:rsidRDefault="0000000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D0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Complete by</w:t>
            </w:r>
          </w:p>
        </w:tc>
      </w:tr>
      <w:tr w:rsidR="00444D0D" w:rsidRPr="00444D0D" w14:paraId="43BDB7E5" w14:textId="77777777" w:rsidTr="005F1BA7">
        <w:trPr>
          <w:trHeight w:val="239"/>
        </w:trPr>
        <w:tc>
          <w:tcPr>
            <w:tcW w:w="890" w:type="dxa"/>
            <w:shd w:val="clear" w:color="auto" w:fill="FFFFFF" w:themeFill="background1"/>
          </w:tcPr>
          <w:p w14:paraId="6C8CC83B" w14:textId="77777777" w:rsidR="005B7DC3" w:rsidRPr="00444D0D" w:rsidRDefault="00000000">
            <w:pPr>
              <w:ind w:left="-106" w:right="314" w:firstLine="14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5735" w:type="dxa"/>
            <w:shd w:val="clear" w:color="auto" w:fill="FFFFFF" w:themeFill="background1"/>
          </w:tcPr>
          <w:p w14:paraId="6FEA7E49" w14:textId="4480548B" w:rsidR="005B7DC3" w:rsidRPr="00444D0D" w:rsidRDefault="00000000">
            <w:pPr>
              <w:rPr>
                <w:color w:val="auto"/>
              </w:rPr>
            </w:pPr>
            <w:r w:rsidRPr="00444D0D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PREVIOUS MINUTES</w:t>
            </w: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–</w:t>
            </w:r>
            <w:r w:rsidR="00137B88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The</w:t>
            </w: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3368FF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M</w:t>
            </w: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inutes of the </w:t>
            </w:r>
            <w:r w:rsidR="003368FF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1</w:t>
            </w:r>
            <w:r w:rsidR="005D691B">
              <w:rPr>
                <w:rFonts w:ascii="Arial Narrow" w:hAnsi="Arial Narrow" w:cs="Arial"/>
                <w:color w:val="auto"/>
                <w:sz w:val="16"/>
                <w:szCs w:val="16"/>
              </w:rPr>
              <w:t>0</w:t>
            </w:r>
            <w:r w:rsidR="005D691B" w:rsidRPr="005D691B">
              <w:rPr>
                <w:rFonts w:ascii="Arial Narrow" w:hAnsi="Arial Narrow" w:cs="Arial"/>
                <w:color w:val="auto"/>
                <w:sz w:val="16"/>
                <w:szCs w:val="16"/>
                <w:vertAlign w:val="superscript"/>
              </w:rPr>
              <w:t>th</w:t>
            </w:r>
            <w:r w:rsidR="005D691B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July</w:t>
            </w:r>
            <w:r w:rsidR="00137B88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1843B2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2023</w:t>
            </w:r>
            <w:r w:rsidR="005D691B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meeting</w:t>
            </w:r>
            <w:r w:rsidR="006C6ABD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were agreed and adopted.</w:t>
            </w:r>
          </w:p>
        </w:tc>
        <w:tc>
          <w:tcPr>
            <w:tcW w:w="1314" w:type="dxa"/>
            <w:shd w:val="clear" w:color="auto" w:fill="FFFFFF" w:themeFill="background1"/>
          </w:tcPr>
          <w:p w14:paraId="11FBA44B" w14:textId="07FD599D" w:rsidR="005B7DC3" w:rsidRPr="00444D0D" w:rsidRDefault="00000000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SG Members</w:t>
            </w:r>
            <w:r w:rsidR="00B77FB1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Note</w:t>
            </w:r>
          </w:p>
        </w:tc>
        <w:tc>
          <w:tcPr>
            <w:tcW w:w="1133" w:type="dxa"/>
            <w:shd w:val="clear" w:color="auto" w:fill="FFFFFF" w:themeFill="background1"/>
          </w:tcPr>
          <w:p w14:paraId="7DDA88C4" w14:textId="77777777" w:rsidR="005B7DC3" w:rsidRPr="00444D0D" w:rsidRDefault="005B7DC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</w:tr>
      <w:tr w:rsidR="00444D0D" w:rsidRPr="00444D0D" w14:paraId="2B15C72D" w14:textId="77777777" w:rsidTr="00301E69">
        <w:trPr>
          <w:trHeight w:val="780"/>
        </w:trPr>
        <w:tc>
          <w:tcPr>
            <w:tcW w:w="890" w:type="dxa"/>
            <w:shd w:val="clear" w:color="auto" w:fill="FFFFFF" w:themeFill="background1"/>
          </w:tcPr>
          <w:p w14:paraId="6044AD39" w14:textId="0CEE0CD1" w:rsidR="005B7DC3" w:rsidRPr="00444D0D" w:rsidRDefault="00925809">
            <w:pPr>
              <w:ind w:left="-106" w:right="314" w:firstLine="142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2</w:t>
            </w:r>
            <w:r w:rsidR="00962F3E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14:paraId="45B6462A" w14:textId="77777777" w:rsidR="005B7DC3" w:rsidRPr="00444D0D" w:rsidRDefault="005B7DC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CAE86A8" w14:textId="77777777" w:rsidR="005B7DC3" w:rsidRPr="00444D0D" w:rsidRDefault="005B7DC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5735" w:type="dxa"/>
            <w:shd w:val="clear" w:color="auto" w:fill="FFFFFF" w:themeFill="background1"/>
          </w:tcPr>
          <w:tbl>
            <w:tblPr>
              <w:tblW w:w="55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7"/>
            </w:tblGrid>
            <w:tr w:rsidR="00444D0D" w:rsidRPr="00735FCF" w14:paraId="235DCDDB" w14:textId="77777777" w:rsidTr="00301E69">
              <w:trPr>
                <w:trHeight w:val="776"/>
              </w:trPr>
              <w:tc>
                <w:tcPr>
                  <w:tcW w:w="5567" w:type="dxa"/>
                  <w:shd w:val="clear" w:color="auto" w:fill="auto"/>
                </w:tcPr>
                <w:p w14:paraId="6EA0A16D" w14:textId="44B624C7" w:rsidR="00C923EC" w:rsidRPr="00301E69" w:rsidRDefault="00CC069C" w:rsidP="00301E69">
                  <w:pPr>
                    <w:widowControl w:val="0"/>
                    <w:rPr>
                      <w:rFonts w:ascii="Arial Narrow" w:eastAsiaTheme="minorHAnsi" w:hAnsi="Arial Narrow"/>
                      <w:color w:val="FF0000"/>
                      <w:sz w:val="16"/>
                      <w:szCs w:val="16"/>
                      <w:highlight w:val="yellow"/>
                    </w:rPr>
                  </w:pPr>
                  <w:r w:rsidRPr="0012105C">
                    <w:rPr>
                      <w:rStyle w:val="apple-converted-space"/>
                      <w:rFonts w:ascii="Arial Narrow" w:hAnsi="Arial Narrow"/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  <w:t>FUNDING</w:t>
                  </w:r>
                  <w:r w:rsidRPr="0012105C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br/>
                  </w:r>
                  <w:r w:rsidR="009B57DB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JP </w:t>
                  </w:r>
                  <w:r w:rsidR="0012105C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explained that </w:t>
                  </w:r>
                  <w:r w:rsidR="00C923EC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>it is not possible to</w:t>
                  </w:r>
                  <w:r w:rsidR="009B57DB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 </w:t>
                  </w:r>
                  <w:r w:rsidR="00E5515F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>draft</w:t>
                  </w:r>
                  <w:r w:rsidR="00C923EC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 a</w:t>
                  </w:r>
                  <w:r w:rsidR="009B57DB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 </w:t>
                  </w:r>
                  <w:r w:rsidR="00E5515F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>‘</w:t>
                  </w:r>
                  <w:r w:rsidR="009B57DB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budget </w:t>
                  </w:r>
                  <w:r w:rsidR="00E5515F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>to complete’</w:t>
                  </w:r>
                  <w:r w:rsidR="0012105C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 the NDP </w:t>
                  </w:r>
                  <w:r w:rsid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process until </w:t>
                  </w:r>
                  <w:r w:rsidR="0012105C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fee </w:t>
                  </w:r>
                  <w:r w:rsidR="00E5515F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>discussions with Bluestone</w:t>
                  </w:r>
                  <w:r w:rsidR="00CC0203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 are concluded</w:t>
                  </w:r>
                  <w:r w:rsid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 </w:t>
                  </w:r>
                  <w:r w:rsidR="009B57DB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>and</w:t>
                  </w:r>
                  <w:r w:rsid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 the </w:t>
                  </w:r>
                  <w:r w:rsidR="009B57DB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>community engagement production costs (design, printing, website costs) for the forthcoming Regulation 14 Consultation</w:t>
                  </w:r>
                  <w:r w:rsidR="00CC0203" w:rsidRP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 xml:space="preserve"> are known</w:t>
                  </w:r>
                  <w:r w:rsidR="00301E69">
                    <w:rPr>
                      <w:rStyle w:val="apple-converted-space"/>
                      <w:rFonts w:ascii="Arial Narrow" w:hAnsi="Arial Narrow"/>
                      <w:color w:val="auto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60AF1CC1" w14:textId="77777777" w:rsidR="005B7DC3" w:rsidRPr="00444D0D" w:rsidRDefault="005B7DC3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5AA8FF" w14:textId="4B375D78" w:rsidR="001F67D9" w:rsidRPr="00444D0D" w:rsidRDefault="00DE4443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/>
                <w:color w:val="auto"/>
                <w:sz w:val="16"/>
                <w:szCs w:val="16"/>
              </w:rPr>
              <w:t>John P</w:t>
            </w:r>
          </w:p>
          <w:p w14:paraId="2EDF1775" w14:textId="4C3C1985" w:rsidR="004358AD" w:rsidRPr="00444D0D" w:rsidRDefault="004358AD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/>
                <w:color w:val="auto"/>
                <w:sz w:val="16"/>
                <w:szCs w:val="16"/>
              </w:rPr>
              <w:t xml:space="preserve">David W </w:t>
            </w:r>
          </w:p>
          <w:p w14:paraId="297C3A02" w14:textId="797B98EC" w:rsidR="00DE4443" w:rsidRPr="00444D0D" w:rsidRDefault="00000000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/>
                <w:color w:val="auto"/>
                <w:sz w:val="16"/>
                <w:szCs w:val="16"/>
              </w:rPr>
              <w:t xml:space="preserve">Ian D </w:t>
            </w:r>
          </w:p>
          <w:p w14:paraId="2A8E3211" w14:textId="7385DA79" w:rsidR="005B7DC3" w:rsidRPr="00444D0D" w:rsidRDefault="004358AD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/>
                <w:color w:val="auto"/>
                <w:sz w:val="16"/>
                <w:szCs w:val="16"/>
              </w:rPr>
              <w:t>Mandy 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BEB384" w14:textId="77777777" w:rsidR="004358AD" w:rsidRPr="00444D0D" w:rsidRDefault="004358AD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14:paraId="1A8D5A4D" w14:textId="77777777" w:rsidR="004358AD" w:rsidRPr="00444D0D" w:rsidRDefault="004358AD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14:paraId="3DC90273" w14:textId="77777777" w:rsidR="009559C4" w:rsidRPr="00444D0D" w:rsidRDefault="009559C4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14:paraId="69318059" w14:textId="7E09ABA8" w:rsidR="00DE4443" w:rsidRPr="00444D0D" w:rsidRDefault="00DE4443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/>
                <w:color w:val="auto"/>
                <w:sz w:val="16"/>
                <w:szCs w:val="16"/>
              </w:rPr>
              <w:t>ASAP</w:t>
            </w:r>
          </w:p>
        </w:tc>
      </w:tr>
      <w:tr w:rsidR="00444D0D" w:rsidRPr="00444D0D" w14:paraId="60F2AA51" w14:textId="77777777" w:rsidTr="005F1BA7">
        <w:trPr>
          <w:trHeight w:val="865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86D1F3" w14:textId="5DE3853E" w:rsidR="005B7DC3" w:rsidRPr="00444D0D" w:rsidRDefault="00925809">
            <w:pPr>
              <w:ind w:left="-106" w:right="314" w:firstLine="142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3</w:t>
            </w:r>
            <w:r w:rsidR="00FB699F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83157DB" w14:textId="75D3C581" w:rsidR="005B7DC3" w:rsidRPr="00444D0D" w:rsidRDefault="00ED59DC">
            <w:pPr>
              <w:rPr>
                <w:rStyle w:val="apple-converted-space"/>
                <w:rFonts w:ascii="Arial Narrow" w:hAnsi="Arial Narrow"/>
                <w:b/>
                <w:bCs/>
                <w:color w:val="auto"/>
                <w:sz w:val="16"/>
                <w:szCs w:val="16"/>
                <w:u w:val="single"/>
              </w:rPr>
            </w:pPr>
            <w:r w:rsidRPr="00444D0D">
              <w:rPr>
                <w:rStyle w:val="apple-converted-space"/>
                <w:rFonts w:ascii="Arial Narrow" w:hAnsi="Arial Narrow"/>
                <w:b/>
                <w:bCs/>
                <w:color w:val="auto"/>
                <w:sz w:val="16"/>
                <w:szCs w:val="16"/>
                <w:u w:val="single"/>
              </w:rPr>
              <w:t>NDP PROGRESS</w:t>
            </w:r>
          </w:p>
          <w:p w14:paraId="6D1D98FD" w14:textId="143CC173" w:rsidR="009C20C4" w:rsidRPr="00444D0D" w:rsidRDefault="00A56F7F" w:rsidP="009C20C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JP </w:t>
            </w:r>
            <w:r w:rsidR="00735FC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reminded members of his </w:t>
            </w:r>
            <w:r w:rsidR="00AA2834">
              <w:rPr>
                <w:rFonts w:ascii="Arial Narrow" w:hAnsi="Arial Narrow" w:cs="Arial"/>
                <w:color w:val="auto"/>
                <w:sz w:val="16"/>
                <w:szCs w:val="16"/>
              </w:rPr>
              <w:t>program</w:t>
            </w:r>
            <w:r w:rsidR="00735FC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to drive the emerging NDP process forward ideally getting to the referendum stage by the end of 2023. JP concede</w:t>
            </w:r>
            <w:r w:rsidR="00AA2834">
              <w:rPr>
                <w:rFonts w:ascii="Arial Narrow" w:hAnsi="Arial Narrow" w:cs="Arial"/>
                <w:color w:val="auto"/>
                <w:sz w:val="16"/>
                <w:szCs w:val="16"/>
              </w:rPr>
              <w:t>d</w:t>
            </w:r>
            <w:r w:rsidR="00735FC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that this is an ambitious program particularly as the control of the program will transfer to SODC after the Regulation 14 Consultation. </w:t>
            </w:r>
          </w:p>
          <w:p w14:paraId="41BB6116" w14:textId="5D41432C" w:rsidR="00A2069A" w:rsidRDefault="00735FCF" w:rsidP="009C20C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HC </w:t>
            </w:r>
            <w:r w:rsidR="0002390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explained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that he had had a zoom meeting with Sharon de Bru (Sd’B) </w:t>
            </w:r>
            <w:r w:rsidR="00BC1875">
              <w:rPr>
                <w:rFonts w:ascii="Arial Narrow" w:hAnsi="Arial Narrow" w:cs="Arial"/>
                <w:color w:val="auto"/>
                <w:sz w:val="16"/>
                <w:szCs w:val="16"/>
              </w:rPr>
              <w:t>of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Bluestone Planning on the 28</w:t>
            </w:r>
            <w:r w:rsidRPr="00735FCF">
              <w:rPr>
                <w:rFonts w:ascii="Arial Narrow" w:hAnsi="Arial Narrow" w:cs="Arial"/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July</w:t>
            </w:r>
            <w:r w:rsidR="00BC187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to review the V1 Settlement Character Appraisal. Sd’B confirmed that Bluestone were already working on a V2 of the Appraisal so the meeting proved a useful cross checking exercise. HC went on that Bluestone were going to review the Character Appraisal and Local Green Space Report ensuring that both documents are</w:t>
            </w:r>
            <w:r w:rsidR="00AA283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more</w:t>
            </w:r>
            <w:r w:rsidR="00BC187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colour blind accessible. </w:t>
            </w:r>
            <w:r w:rsidR="0002390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HC went on that Sd’B had undertaken to review the NDP document and </w:t>
            </w:r>
            <w:r w:rsidR="00BD7952">
              <w:rPr>
                <w:rFonts w:ascii="Arial Narrow" w:hAnsi="Arial Narrow" w:cs="Arial"/>
                <w:color w:val="auto"/>
                <w:sz w:val="16"/>
                <w:szCs w:val="16"/>
              </w:rPr>
              <w:t>e</w:t>
            </w:r>
            <w:r w:rsidR="0002390E">
              <w:rPr>
                <w:rFonts w:ascii="Arial Narrow" w:hAnsi="Arial Narrow" w:cs="Arial"/>
                <w:color w:val="auto"/>
                <w:sz w:val="16"/>
                <w:szCs w:val="16"/>
              </w:rPr>
              <w:t>vidence base documents week commencing 31</w:t>
            </w:r>
            <w:r w:rsidR="0002390E" w:rsidRPr="0002390E">
              <w:rPr>
                <w:rFonts w:ascii="Arial Narrow" w:hAnsi="Arial Narrow" w:cs="Arial"/>
                <w:color w:val="auto"/>
                <w:sz w:val="16"/>
                <w:szCs w:val="16"/>
                <w:vertAlign w:val="superscript"/>
              </w:rPr>
              <w:t>st</w:t>
            </w:r>
            <w:r w:rsidR="0002390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July to send final versions back to the SG by the end of that week. Unfortunately nothing had been received from</w:t>
            </w:r>
            <w:r w:rsidR="00AA283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Bluestone</w:t>
            </w:r>
            <w:r w:rsidR="0002390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and JP undertook to chase up Sd’B</w:t>
            </w:r>
            <w:r w:rsidR="001D6AEE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14:paraId="57623C4D" w14:textId="333542A1" w:rsidR="0002390E" w:rsidRPr="001D6AEE" w:rsidRDefault="001D6AEE" w:rsidP="001D6AEE">
            <w:pPr>
              <w:ind w:left="720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1D6AE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Post Meeting Note</w:t>
            </w:r>
            <w: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:</w:t>
            </w:r>
            <w:r w:rsidRPr="001D6AE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Bluestone have now issued the V2 Settlement Character Appraisal that HC will circulate to </w:t>
            </w:r>
            <w:r w:rsidR="001D779C">
              <w:rPr>
                <w:rFonts w:ascii="Arial Narrow" w:hAnsi="Arial Narrow" w:cs="Arial"/>
                <w:color w:val="auto"/>
                <w:sz w:val="16"/>
                <w:szCs w:val="16"/>
              </w:rPr>
              <w:t>all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SG Members for their information. Sd’B has stated that she will review progress of the NDP and evidence documents as a priority week commencing 21</w:t>
            </w:r>
            <w:r w:rsidRPr="001D6AEE">
              <w:rPr>
                <w:rFonts w:ascii="Arial Narrow" w:hAnsi="Arial Narrow" w:cs="Arial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August.</w:t>
            </w:r>
            <w:r w:rsidR="001D779C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JP and HC will follow this up.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14:paraId="6CD74286" w14:textId="121FBF06" w:rsidR="00190421" w:rsidRPr="00444D0D" w:rsidRDefault="00BC1875" w:rsidP="009C20C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JP reminded members that he was working on the Evidence Base Schedule that members had to agree and the correct documents needed to be referenced in the NDP document. </w:t>
            </w:r>
          </w:p>
          <w:p w14:paraId="4FD0BB35" w14:textId="5061F035" w:rsidR="00190421" w:rsidRPr="00444D0D" w:rsidRDefault="00190421" w:rsidP="009C20C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HC</w:t>
            </w:r>
            <w:r w:rsidR="0002390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agreed to follow up with RB to circulate his </w:t>
            </w:r>
            <w:r w:rsidR="00C42782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draft </w:t>
            </w: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Infrastructure</w:t>
            </w:r>
            <w:r w:rsidR="00C42782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proposal paper for JP and HC to review  and decide if this should be a standalone document or redrafted in to a community aspiration.</w:t>
            </w:r>
          </w:p>
          <w:p w14:paraId="47E22F6A" w14:textId="6187DC70" w:rsidR="00C42782" w:rsidRPr="00444D0D" w:rsidRDefault="0002390E" w:rsidP="009C20C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NM </w:t>
            </w:r>
            <w:r w:rsidR="00AE373C">
              <w:rPr>
                <w:rFonts w:ascii="Arial Narrow" w:hAnsi="Arial Narrow" w:cs="Arial"/>
                <w:color w:val="auto"/>
                <w:sz w:val="16"/>
                <w:szCs w:val="16"/>
              </w:rPr>
              <w:t>confirmed that he had issued a summary of the ecology, habitat, biodiversity and  green corridors evidence documents. It was agreed references to badge</w:t>
            </w:r>
            <w:r w:rsidR="001D779C">
              <w:rPr>
                <w:rFonts w:ascii="Arial Narrow" w:hAnsi="Arial Narrow" w:cs="Arial"/>
                <w:color w:val="auto"/>
                <w:sz w:val="16"/>
                <w:szCs w:val="16"/>
              </w:rPr>
              <w:t>r</w:t>
            </w:r>
            <w:r w:rsidR="00AE373C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s should be redacted from the TVRC Green Corridors </w:t>
            </w:r>
            <w:r w:rsidR="001D779C">
              <w:rPr>
                <w:rFonts w:ascii="Arial Narrow" w:hAnsi="Arial Narrow" w:cs="Arial"/>
                <w:color w:val="auto"/>
                <w:sz w:val="16"/>
                <w:szCs w:val="16"/>
              </w:rPr>
              <w:t>study</w:t>
            </w:r>
            <w:r w:rsidR="00AE373C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and DW agreed to amend section 2 of the </w:t>
            </w:r>
            <w:r w:rsidR="001D779C">
              <w:rPr>
                <w:rFonts w:ascii="Arial Narrow" w:hAnsi="Arial Narrow" w:cs="Arial"/>
                <w:color w:val="auto"/>
                <w:sz w:val="16"/>
                <w:szCs w:val="16"/>
              </w:rPr>
              <w:t>Green</w:t>
            </w:r>
            <w:r w:rsidR="00AE373C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Corridors Study to remove references to ‘people</w:t>
            </w:r>
            <w:r w:rsidR="00543D55">
              <w:rPr>
                <w:rFonts w:ascii="Arial Narrow" w:hAnsi="Arial Narrow" w:cs="Arial"/>
                <w:color w:val="auto"/>
                <w:sz w:val="16"/>
                <w:szCs w:val="16"/>
              </w:rPr>
              <w:t>” in the definition of “Green Corridor” as had been discussed and agreed with Henrietta Pringle prior to her departure from TVERC</w:t>
            </w:r>
            <w:r w:rsidR="00AE373C">
              <w:rPr>
                <w:rFonts w:ascii="Arial Narrow" w:hAnsi="Arial Narrow" w:cs="Arial"/>
                <w:color w:val="auto"/>
                <w:sz w:val="16"/>
                <w:szCs w:val="16"/>
              </w:rPr>
              <w:t>’</w:t>
            </w:r>
            <w:r w:rsidR="00543D5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but not amended as requested</w:t>
            </w:r>
            <w:r w:rsidR="00AE373C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</w:p>
          <w:p w14:paraId="58043AB5" w14:textId="701B8195" w:rsidR="005B7DC3" w:rsidRPr="00444D0D" w:rsidRDefault="001D779C" w:rsidP="001D779C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JP explained that he and HC were working on a Community Aspirations summary document that HC will finalise once the final version of the NDP document </w:t>
            </w:r>
            <w:r w:rsidR="00AA2834">
              <w:rPr>
                <w:rFonts w:ascii="Arial Narrow" w:hAnsi="Arial Narrow" w:cs="Arial"/>
                <w:color w:val="auto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for the Regulation 14 Consultation</w:t>
            </w:r>
            <w:r w:rsidR="00AA2834">
              <w:rPr>
                <w:rFonts w:ascii="Arial Narrow" w:hAnsi="Arial Narrow" w:cs="Arial"/>
                <w:color w:val="auto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has been issued. It was agreed  a community aspiration to maximise the flood plain capacity should be included in the NDP.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54D1CE7" w14:textId="77777777" w:rsidR="005B7DC3" w:rsidRPr="00444D0D" w:rsidRDefault="005B7DC3">
            <w:pPr>
              <w:rPr>
                <w:rFonts w:cs="Arial"/>
                <w:color w:val="auto"/>
              </w:rPr>
            </w:pPr>
          </w:p>
          <w:p w14:paraId="6A5A9A04" w14:textId="0D10342B" w:rsidR="005B7DC3" w:rsidRPr="00444D0D" w:rsidRDefault="005B7DC3">
            <w:pPr>
              <w:rPr>
                <w:rFonts w:cs="Arial"/>
                <w:color w:val="auto"/>
              </w:rPr>
            </w:pPr>
          </w:p>
          <w:p w14:paraId="348C3EF9" w14:textId="77777777" w:rsidR="00ED5ED4" w:rsidRPr="00444D0D" w:rsidRDefault="00ED5ED4">
            <w:pPr>
              <w:rPr>
                <w:rFonts w:cs="Arial"/>
                <w:color w:val="auto"/>
              </w:rPr>
            </w:pPr>
          </w:p>
          <w:p w14:paraId="78A5919A" w14:textId="4F79C039" w:rsidR="00B10DFF" w:rsidRP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348C2">
              <w:rPr>
                <w:rFonts w:ascii="Arial Narrow" w:hAnsi="Arial Narrow" w:cs="Arial"/>
                <w:color w:val="auto"/>
                <w:sz w:val="16"/>
                <w:szCs w:val="16"/>
              </w:rPr>
              <w:t>All to Note</w:t>
            </w:r>
          </w:p>
          <w:p w14:paraId="1AD0C721" w14:textId="77777777" w:rsidR="00444425" w:rsidRPr="00444D0D" w:rsidRDefault="00444425">
            <w:pPr>
              <w:rPr>
                <w:rFonts w:cs="Arial"/>
                <w:color w:val="auto"/>
              </w:rPr>
            </w:pPr>
          </w:p>
          <w:p w14:paraId="54D64FC6" w14:textId="77777777" w:rsidR="00B10DFF" w:rsidRPr="00444D0D" w:rsidRDefault="00B10DFF">
            <w:pPr>
              <w:rPr>
                <w:rFonts w:cs="Arial"/>
                <w:color w:val="auto"/>
              </w:rPr>
            </w:pPr>
          </w:p>
          <w:p w14:paraId="5F5B7D10" w14:textId="77777777" w:rsidR="00397504" w:rsidRPr="00444D0D" w:rsidRDefault="00397504">
            <w:pPr>
              <w:rPr>
                <w:rFonts w:cs="Arial"/>
                <w:color w:val="auto"/>
              </w:rPr>
            </w:pPr>
          </w:p>
          <w:p w14:paraId="1136CE7D" w14:textId="77777777" w:rsidR="00CE4507" w:rsidRDefault="00CE4507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430DACB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50242B5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C4C07AB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03E6760A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6BD7565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EC4B3E0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B0149F2" w14:textId="7C5A689A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John P</w:t>
            </w:r>
          </w:p>
          <w:p w14:paraId="4D761DB4" w14:textId="497A82C9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Howard C</w:t>
            </w:r>
          </w:p>
          <w:p w14:paraId="0F8F16B7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7A8B8F9" w14:textId="77777777" w:rsidR="00BD7952" w:rsidRDefault="00BD795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147294C" w14:textId="6443F230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John P</w:t>
            </w:r>
          </w:p>
          <w:p w14:paraId="2356DFE1" w14:textId="77777777" w:rsidR="00A348C2" w:rsidRPr="00444D0D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0155223" w14:textId="7C66DCF0" w:rsidR="00F05C92" w:rsidRPr="00444D0D" w:rsidRDefault="00F05C9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Howard C</w:t>
            </w:r>
          </w:p>
          <w:p w14:paraId="14D8C29E" w14:textId="30039D12" w:rsidR="00F05C92" w:rsidRPr="00444D0D" w:rsidRDefault="00F05C9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Richard B</w:t>
            </w:r>
          </w:p>
          <w:p w14:paraId="71AB2FC6" w14:textId="77777777" w:rsidR="00C5700E" w:rsidRPr="00444D0D" w:rsidRDefault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4D11ABD3" w14:textId="77777777" w:rsidR="00B10DFF" w:rsidRDefault="00B10DFF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0DE87EC" w14:textId="77777777" w:rsidR="00301E69" w:rsidRDefault="00301E69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4B278E5" w14:textId="77777777" w:rsidR="00301E69" w:rsidRDefault="00301E69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545475A" w14:textId="77777777" w:rsidR="00301E69" w:rsidRPr="00444D0D" w:rsidRDefault="00301E69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8DDEF07" w14:textId="6E3D49AB" w:rsidR="00ED59DC" w:rsidRPr="00444D0D" w:rsidRDefault="00ED59DC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027BDB01" w14:textId="584CE444" w:rsidR="00C5700E" w:rsidRPr="00444D0D" w:rsidRDefault="00F05C9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David W </w:t>
            </w:r>
          </w:p>
          <w:p w14:paraId="77A855B0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34A0DE4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EFC7C7A" w14:textId="77777777" w:rsid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9E19469" w14:textId="29270B51" w:rsidR="00CE4507" w:rsidRPr="00A348C2" w:rsidRDefault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Howard C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074408" w14:textId="77777777" w:rsidR="005B7DC3" w:rsidRPr="00444D0D" w:rsidRDefault="005B7DC3">
            <w:pPr>
              <w:rPr>
                <w:rFonts w:cs="Arial"/>
                <w:color w:val="auto"/>
              </w:rPr>
            </w:pPr>
          </w:p>
          <w:p w14:paraId="17C9B01D" w14:textId="77777777" w:rsidR="005B7DC3" w:rsidRPr="00444D0D" w:rsidRDefault="005B7DC3">
            <w:pPr>
              <w:rPr>
                <w:rFonts w:cs="Arial"/>
                <w:color w:val="auto"/>
              </w:rPr>
            </w:pPr>
          </w:p>
          <w:p w14:paraId="2F760DC5" w14:textId="77777777" w:rsidR="005B7DC3" w:rsidRPr="00444D0D" w:rsidRDefault="005B7DC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CCE8925" w14:textId="77777777" w:rsidR="005B7DC3" w:rsidRPr="00444D0D" w:rsidRDefault="005B7DC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A247412" w14:textId="77777777" w:rsidR="003E13C8" w:rsidRPr="00444D0D" w:rsidRDefault="003E13C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D786C35" w14:textId="77777777" w:rsidR="003E13C8" w:rsidRPr="00444D0D" w:rsidRDefault="003E13C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4C16FA5" w14:textId="77777777" w:rsidR="003E13C8" w:rsidRPr="00444D0D" w:rsidRDefault="003E13C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064885E9" w14:textId="77777777" w:rsidR="003E13C8" w:rsidRPr="00444D0D" w:rsidRDefault="003E13C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427D1837" w14:textId="6F991600" w:rsidR="003E13C8" w:rsidRPr="00444D0D" w:rsidRDefault="003E13C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5D28501" w14:textId="77777777" w:rsidR="00014E7A" w:rsidRPr="00444D0D" w:rsidRDefault="00014E7A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0BBF0AFD" w14:textId="77777777" w:rsidR="003E13C8" w:rsidRPr="00444D0D" w:rsidRDefault="003E13C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980E6E3" w14:textId="77777777" w:rsidR="003E13C8" w:rsidRPr="00444D0D" w:rsidRDefault="003E13C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C32E943" w14:textId="10B7CFCA" w:rsidR="003E13C8" w:rsidRPr="00444D0D" w:rsidRDefault="003E13C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46F57CDB" w14:textId="77777777" w:rsidR="00F05C92" w:rsidRPr="00444D0D" w:rsidRDefault="00F05C9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C22B5EA" w14:textId="77777777" w:rsidR="00F05C92" w:rsidRPr="00444D0D" w:rsidRDefault="00F05C9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6D41AF8B" w14:textId="77777777" w:rsidR="00F05C92" w:rsidRPr="00444D0D" w:rsidRDefault="00F05C9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10E6E09" w14:textId="77777777" w:rsidR="00F05C92" w:rsidRPr="00444D0D" w:rsidRDefault="00F05C9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DB61134" w14:textId="28C8E9CE" w:rsidR="00EA171A" w:rsidRPr="00444D0D" w:rsidRDefault="00CE4507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ASAP</w:t>
            </w:r>
          </w:p>
          <w:p w14:paraId="0519DC5C" w14:textId="77777777" w:rsidR="00CE4507" w:rsidRDefault="00CE4507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7236EB4" w14:textId="77777777" w:rsidR="00BD7952" w:rsidRPr="00444D0D" w:rsidRDefault="00BD795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00404D0" w14:textId="278E10F4" w:rsidR="00CE4507" w:rsidRPr="00444D0D" w:rsidRDefault="00CE4507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ASAP</w:t>
            </w:r>
          </w:p>
          <w:p w14:paraId="0E58B1EE" w14:textId="77777777" w:rsidR="00EA171A" w:rsidRPr="00444D0D" w:rsidRDefault="00EA171A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6A19348A" w14:textId="77777777" w:rsidR="00F05C92" w:rsidRPr="00444D0D" w:rsidRDefault="00F05C9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946917F" w14:textId="77777777" w:rsidR="007036C5" w:rsidRDefault="003E13C8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348C2">
              <w:rPr>
                <w:rFonts w:ascii="Arial Narrow" w:hAnsi="Arial Narrow" w:cs="Arial"/>
                <w:color w:val="auto"/>
                <w:sz w:val="16"/>
                <w:szCs w:val="16"/>
              </w:rPr>
              <w:t>ASAP</w:t>
            </w:r>
          </w:p>
          <w:p w14:paraId="4B60C687" w14:textId="77777777" w:rsidR="00A348C2" w:rsidRDefault="00A348C2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72DA82D" w14:textId="77777777" w:rsidR="00301E69" w:rsidRDefault="00301E69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8F0EB21" w14:textId="77777777" w:rsidR="00301E69" w:rsidRDefault="00301E69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6A676FF7" w14:textId="77777777" w:rsidR="00301E69" w:rsidRDefault="00301E69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94ED58B" w14:textId="77777777" w:rsidR="00A348C2" w:rsidRDefault="00A348C2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1F45791" w14:textId="77777777" w:rsidR="00A348C2" w:rsidRDefault="00A348C2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66F2F16A" w14:textId="77777777" w:rsidR="00A348C2" w:rsidRDefault="00A348C2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ASAP</w:t>
            </w:r>
          </w:p>
          <w:p w14:paraId="3C743B16" w14:textId="77777777" w:rsidR="00A348C2" w:rsidRDefault="00A348C2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E9C209C" w14:textId="77777777" w:rsidR="00A348C2" w:rsidRDefault="00A348C2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F801A48" w14:textId="77777777" w:rsidR="00A348C2" w:rsidRDefault="00A348C2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EFB121C" w14:textId="12A99668" w:rsidR="00A348C2" w:rsidRPr="00A348C2" w:rsidRDefault="00A348C2" w:rsidP="00C8081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ASAP</w:t>
            </w:r>
          </w:p>
        </w:tc>
      </w:tr>
      <w:tr w:rsidR="00444D0D" w:rsidRPr="00444D0D" w14:paraId="7AD76C2E" w14:textId="77777777" w:rsidTr="00A65A51">
        <w:trPr>
          <w:trHeight w:val="4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87CBFB7" w14:textId="76AB3BBE" w:rsidR="00C5700E" w:rsidRPr="00444D0D" w:rsidRDefault="00925809" w:rsidP="00C5700E">
            <w:pPr>
              <w:ind w:left="-106" w:right="314" w:firstLine="142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4</w:t>
            </w:r>
            <w:r w:rsidR="00C5700E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77F738" w14:textId="7827D4EB" w:rsidR="00C5700E" w:rsidRPr="00444D0D" w:rsidRDefault="00CC069C" w:rsidP="00C5700E">
            <w:pPr>
              <w:rPr>
                <w:rStyle w:val="apple-converted-space"/>
                <w:rFonts w:ascii="Arial Narrow" w:hAnsi="Arial Narrow"/>
                <w:b/>
                <w:bCs/>
                <w:color w:val="auto"/>
                <w:sz w:val="16"/>
                <w:szCs w:val="16"/>
                <w:u w:val="single"/>
              </w:rPr>
            </w:pPr>
            <w:r w:rsidRPr="00444D0D">
              <w:rPr>
                <w:rStyle w:val="apple-converted-space"/>
                <w:rFonts w:ascii="Arial Narrow" w:hAnsi="Arial Narrow"/>
                <w:b/>
                <w:bCs/>
                <w:color w:val="auto"/>
                <w:sz w:val="16"/>
                <w:szCs w:val="16"/>
                <w:u w:val="single"/>
              </w:rPr>
              <w:t>REGULATION 14  PREP</w:t>
            </w:r>
            <w:r w:rsidR="001E3D8A" w:rsidRPr="00444D0D">
              <w:rPr>
                <w:rStyle w:val="apple-converted-space"/>
                <w:rFonts w:ascii="Arial Narrow" w:hAnsi="Arial Narrow"/>
                <w:b/>
                <w:bCs/>
                <w:color w:val="auto"/>
                <w:sz w:val="16"/>
                <w:szCs w:val="16"/>
                <w:u w:val="single"/>
              </w:rPr>
              <w:t>A</w:t>
            </w:r>
            <w:r w:rsidRPr="00444D0D">
              <w:rPr>
                <w:rStyle w:val="apple-converted-space"/>
                <w:rFonts w:ascii="Arial Narrow" w:hAnsi="Arial Narrow"/>
                <w:b/>
                <w:bCs/>
                <w:color w:val="auto"/>
                <w:sz w:val="16"/>
                <w:szCs w:val="16"/>
                <w:u w:val="single"/>
              </w:rPr>
              <w:t>RATION</w:t>
            </w:r>
          </w:p>
          <w:p w14:paraId="120B06A6" w14:textId="3EA43EBF" w:rsidR="00CC069C" w:rsidRPr="00444D0D" w:rsidRDefault="00CC069C" w:rsidP="00C5700E">
            <w:pP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</w:pPr>
            <w:r w:rsidRPr="00444D0D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A general discussion was had on the next steps for the preparation of the Regulation 14 Consultation with </w:t>
            </w:r>
            <w:r w:rsidR="00AB3431" w:rsidRPr="00444D0D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>t</w:t>
            </w:r>
            <w:r w:rsidRPr="00444D0D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>he following action points noted:</w:t>
            </w:r>
          </w:p>
          <w:p w14:paraId="2DF5598C" w14:textId="4D9C2972" w:rsidR="00C441E0" w:rsidRDefault="001D779C" w:rsidP="00F13B4B">
            <w:pPr>
              <w:pStyle w:val="ListParagraph"/>
              <w:numPr>
                <w:ilvl w:val="0"/>
                <w:numId w:val="11"/>
              </w:numP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JP stated that the </w:t>
            </w:r>
            <w:r w:rsidRPr="00C441E0">
              <w:rPr>
                <w:rStyle w:val="apple-converted-space"/>
                <w:rFonts w:ascii="Arial Narrow" w:hAnsi="Arial Narrow"/>
                <w:b/>
                <w:bCs/>
                <w:color w:val="auto"/>
                <w:sz w:val="16"/>
                <w:szCs w:val="16"/>
                <w:u w:val="single"/>
              </w:rPr>
              <w:t>28</w:t>
            </w:r>
            <w:r w:rsidRPr="00C441E0">
              <w:rPr>
                <w:rStyle w:val="apple-converted-space"/>
                <w:rFonts w:ascii="Arial Narrow" w:hAnsi="Arial Narrow"/>
                <w:b/>
                <w:bCs/>
                <w:color w:val="auto"/>
                <w:sz w:val="16"/>
                <w:szCs w:val="16"/>
                <w:u w:val="single"/>
                <w:vertAlign w:val="superscript"/>
              </w:rPr>
              <w:t>th</w:t>
            </w:r>
            <w:r w:rsidRPr="00C441E0">
              <w:rPr>
                <w:rStyle w:val="apple-converted-space"/>
                <w:rFonts w:ascii="Arial Narrow" w:hAnsi="Arial Narrow"/>
                <w:b/>
                <w:bCs/>
                <w:color w:val="auto"/>
                <w:sz w:val="16"/>
                <w:szCs w:val="16"/>
                <w:u w:val="single"/>
              </w:rPr>
              <w:t xml:space="preserve">  August is the target date to commence Regulation 14 Consultation</w:t>
            </w:r>
            <w: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 though</w:t>
            </w:r>
            <w:r w:rsidR="00F95E4E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 clearly</w:t>
            </w:r>
            <w: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 this depended on </w:t>
            </w:r>
            <w:r w:rsidR="00C441E0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>Bluestone’s</w:t>
            </w:r>
            <w: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 performance to </w:t>
            </w:r>
            <w:r w:rsidR="00C441E0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>finalise</w:t>
            </w:r>
            <w: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 the NDP and Evidence documents. </w:t>
            </w:r>
          </w:p>
          <w:p w14:paraId="70FEF03A" w14:textId="77777777" w:rsidR="00C441E0" w:rsidRDefault="00CC069C" w:rsidP="00F13B4B">
            <w:pPr>
              <w:pStyle w:val="ListParagraph"/>
              <w:numPr>
                <w:ilvl w:val="0"/>
                <w:numId w:val="11"/>
              </w:numP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</w:pPr>
            <w:r w:rsidRPr="00444D0D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>DS</w:t>
            </w:r>
            <w:r w:rsidR="00A508D6" w:rsidRPr="00444D0D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="00C441E0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>undertook to update  the consultation distribution list and statutory distribution list.</w:t>
            </w:r>
          </w:p>
          <w:p w14:paraId="35393D36" w14:textId="14F72B36" w:rsidR="00F13B4B" w:rsidRDefault="00F13B4B" w:rsidP="00F13B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F13B4B">
              <w:rPr>
                <w:rFonts w:ascii="Arial Narrow" w:hAnsi="Arial Narrow" w:cs="Arial"/>
                <w:color w:val="auto"/>
                <w:sz w:val="16"/>
                <w:szCs w:val="16"/>
              </w:rPr>
              <w:t>DW confirmed that he will be working on the NDP leaflet on the 16</w:t>
            </w:r>
            <w:r w:rsidRPr="00F13B4B">
              <w:rPr>
                <w:rFonts w:ascii="Arial Narrow" w:hAnsi="Arial Narrow" w:cs="Arial"/>
                <w:color w:val="auto"/>
                <w:sz w:val="16"/>
                <w:szCs w:val="16"/>
                <w:vertAlign w:val="superscript"/>
              </w:rPr>
              <w:t>th</w:t>
            </w:r>
            <w:r w:rsidRPr="00F13B4B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August and </w:t>
            </w:r>
            <w:r w:rsidR="00543D5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will confirm</w:t>
            </w:r>
            <w:r w:rsidRPr="00F13B4B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budget costs for printing the  leaflet, Regulation 14 posters and hard copies of the NDP and Evidence base. </w:t>
            </w:r>
          </w:p>
          <w:p w14:paraId="325B9102" w14:textId="61FE0991" w:rsidR="00F13B4B" w:rsidRPr="00F13B4B" w:rsidRDefault="00F13B4B" w:rsidP="00F13B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HC confirmed that </w:t>
            </w:r>
            <w:r w:rsidR="00F95E4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the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Loddon Brewery in Dunsden are happy to engage in the Regulation 14 process and host a copy of the NDP documents for members of the public to inspect and that he had asked The Crown in Playhatch to host also and was awaiting feedback</w:t>
            </w:r>
            <w:r w:rsidR="0012105C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from them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DS agreed to ask The Mill at Sonning to host also though a final decision on the number of copies and locations for the documents is still to be made depending on budgetary restraints. </w:t>
            </w:r>
          </w:p>
          <w:p w14:paraId="3B9B28A9" w14:textId="1E9645E1" w:rsidR="00F13B4B" w:rsidRPr="00444D0D" w:rsidRDefault="00F13B4B" w:rsidP="00F13B4B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DS agreed to update the NDP social media channels </w:t>
            </w:r>
            <w:r w:rsidR="00543D55"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initially to review interest in the NDP and then </w:t>
            </w:r>
            <w:r>
              <w:rPr>
                <w:rStyle w:val="apple-converted-space"/>
                <w:rFonts w:ascii="Arial Narrow" w:hAnsi="Arial Narrow"/>
                <w:color w:val="auto"/>
                <w:sz w:val="16"/>
                <w:szCs w:val="16"/>
              </w:rPr>
              <w:t xml:space="preserve">to advise followers of the forthcoming Regulation 14 Consultation.  </w:t>
            </w:r>
          </w:p>
          <w:p w14:paraId="065E689D" w14:textId="6D5B9FFF" w:rsidR="00C5700E" w:rsidRPr="0012105C" w:rsidRDefault="0012105C" w:rsidP="00F13B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2105C">
              <w:rPr>
                <w:rFonts w:ascii="Arial Narrow" w:hAnsi="Arial Narrow"/>
                <w:color w:val="auto"/>
                <w:sz w:val="16"/>
                <w:szCs w:val="16"/>
              </w:rPr>
              <w:t>JP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agreed to review the Privacy Statement.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DFF924" w14:textId="7777777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165DD6E" w14:textId="7777777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BEC8878" w14:textId="7777777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C3C56B0" w14:textId="7777777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EAD98E2" w14:textId="77777777" w:rsidR="00B10DFF" w:rsidRPr="00444D0D" w:rsidRDefault="00B10DFF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0546801B" w14:textId="43491CD8" w:rsidR="00B10DFF" w:rsidRPr="00444D0D" w:rsidRDefault="00A348C2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All to Note</w:t>
            </w:r>
          </w:p>
          <w:p w14:paraId="2AFE6769" w14:textId="0AA37617" w:rsidR="00B10DFF" w:rsidRPr="00444D0D" w:rsidRDefault="00B10DFF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6507844" w14:textId="100245ED" w:rsidR="00B10DFF" w:rsidRPr="00444D0D" w:rsidRDefault="00B10DFF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Deborah S</w:t>
            </w:r>
          </w:p>
          <w:p w14:paraId="696DC37F" w14:textId="77777777" w:rsidR="00A348C2" w:rsidRDefault="00A348C2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FB0D0B6" w14:textId="77777777" w:rsidR="00A348C2" w:rsidRDefault="00A348C2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1D6516A" w14:textId="32F1C21E" w:rsidR="00C5700E" w:rsidRPr="00444D0D" w:rsidRDefault="00851811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David W</w:t>
            </w:r>
          </w:p>
          <w:p w14:paraId="25FE212E" w14:textId="7777777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1665C7D6" w14:textId="77777777" w:rsidR="00851811" w:rsidRPr="00444D0D" w:rsidRDefault="00851811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A381633" w14:textId="77777777" w:rsidR="00B10DFF" w:rsidRPr="00444D0D" w:rsidRDefault="00B10DFF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781B18D" w14:textId="77777777" w:rsidR="00B10DFF" w:rsidRPr="00444D0D" w:rsidRDefault="00B10DFF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14BBB1A" w14:textId="4C3A0B1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155A2AB" w14:textId="00C282B0" w:rsidR="00C5700E" w:rsidRPr="00444D0D" w:rsidRDefault="00301E69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Deborah S</w:t>
            </w:r>
          </w:p>
          <w:p w14:paraId="56BB0457" w14:textId="49D321CB" w:rsidR="00C5700E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0180E560" w14:textId="77777777" w:rsidR="00301E69" w:rsidRPr="00444D0D" w:rsidRDefault="00301E69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CD3DB3D" w14:textId="2F53D8EF" w:rsidR="00B10DFF" w:rsidRDefault="00A348C2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Deborah S</w:t>
            </w:r>
          </w:p>
          <w:p w14:paraId="449B2C36" w14:textId="7E3ABD0A" w:rsidR="00C5700E" w:rsidRPr="00444D0D" w:rsidRDefault="00A348C2" w:rsidP="00A348C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John P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FBFB8C" w14:textId="77777777" w:rsidR="00C5700E" w:rsidRPr="00444D0D" w:rsidRDefault="00C5700E" w:rsidP="00C5700E">
            <w:p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14:paraId="50EDDADD" w14:textId="77777777" w:rsidR="00C5700E" w:rsidRPr="00444D0D" w:rsidRDefault="00C5700E" w:rsidP="00C5700E">
            <w:p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14:paraId="4FF2222E" w14:textId="77777777" w:rsidR="00C5700E" w:rsidRPr="00444D0D" w:rsidRDefault="00C5700E" w:rsidP="00C5700E">
            <w:p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14:paraId="3375AF9A" w14:textId="77777777" w:rsidR="00B10DFF" w:rsidRPr="00444D0D" w:rsidRDefault="00B10DFF" w:rsidP="00C5700E">
            <w:p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14:paraId="243C5082" w14:textId="77777777" w:rsidR="00B10DFF" w:rsidRPr="00444D0D" w:rsidRDefault="00B10DFF" w:rsidP="00C5700E">
            <w:p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14:paraId="6978B5A5" w14:textId="77777777" w:rsidR="00B10DFF" w:rsidRPr="00444D0D" w:rsidRDefault="00B10DFF" w:rsidP="00C5700E">
            <w:p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14:paraId="17162D02" w14:textId="7777777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48C96797" w14:textId="0DAB057D" w:rsidR="00C5700E" w:rsidRPr="00444D0D" w:rsidRDefault="00851811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ASAP</w:t>
            </w:r>
          </w:p>
          <w:p w14:paraId="7197D8BB" w14:textId="77777777" w:rsidR="00C5700E" w:rsidRPr="00444D0D" w:rsidRDefault="00C5700E" w:rsidP="00C5700E">
            <w:p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14:paraId="65240E39" w14:textId="77777777" w:rsidR="00851811" w:rsidRPr="00A348C2" w:rsidRDefault="00851811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26A1F2B" w14:textId="38CEBC50" w:rsidR="00B10DFF" w:rsidRPr="00A348C2" w:rsidRDefault="00A348C2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348C2">
              <w:rPr>
                <w:rFonts w:ascii="Arial Narrow" w:hAnsi="Arial Narrow" w:cs="Arial"/>
                <w:color w:val="auto"/>
                <w:sz w:val="16"/>
                <w:szCs w:val="16"/>
              </w:rPr>
              <w:t>16</w:t>
            </w:r>
            <w:r w:rsidRPr="00A348C2">
              <w:rPr>
                <w:rFonts w:ascii="Arial Narrow" w:hAnsi="Arial Narrow" w:cs="Arial"/>
                <w:color w:val="auto"/>
                <w:sz w:val="16"/>
                <w:szCs w:val="16"/>
                <w:vertAlign w:val="superscript"/>
              </w:rPr>
              <w:t>th</w:t>
            </w:r>
            <w:r w:rsidRPr="00A348C2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August</w:t>
            </w:r>
          </w:p>
          <w:p w14:paraId="7F3B623B" w14:textId="77777777" w:rsidR="00B10DFF" w:rsidRPr="00444D0D" w:rsidRDefault="00B10DFF" w:rsidP="00C5700E">
            <w:p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</w:p>
          <w:p w14:paraId="696265B5" w14:textId="5386A268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EE4C09E" w14:textId="7777777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8BE74DF" w14:textId="7777777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4F982174" w14:textId="3CCB4D09" w:rsidR="00890BC5" w:rsidRPr="00444D0D" w:rsidRDefault="00890BC5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62A1F676" w14:textId="710E39C2" w:rsidR="00BC2235" w:rsidRPr="00444D0D" w:rsidRDefault="00301E69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ASAP</w:t>
            </w:r>
          </w:p>
          <w:p w14:paraId="368EEA4A" w14:textId="77777777" w:rsidR="00890BC5" w:rsidRDefault="00890BC5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CC5DDD7" w14:textId="77777777" w:rsidR="00301E69" w:rsidRDefault="00301E69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ECD280C" w14:textId="640EF47A" w:rsidR="00A348C2" w:rsidRDefault="00A348C2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ASAP</w:t>
            </w:r>
          </w:p>
          <w:p w14:paraId="2D965213" w14:textId="25A0154F" w:rsidR="00A348C2" w:rsidRPr="00444D0D" w:rsidRDefault="00A348C2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ASAP</w:t>
            </w:r>
          </w:p>
        </w:tc>
      </w:tr>
      <w:tr w:rsidR="00444D0D" w:rsidRPr="00444D0D" w14:paraId="7612CE04" w14:textId="77777777" w:rsidTr="005F1BA7">
        <w:trPr>
          <w:trHeight w:val="161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C39874" w14:textId="709229BE" w:rsidR="00C5700E" w:rsidRPr="00444D0D" w:rsidRDefault="00EA171A" w:rsidP="00C5700E">
            <w:pPr>
              <w:ind w:left="-106" w:right="314" w:firstLine="142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5.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372F29F" w14:textId="3DDC3BB3" w:rsidR="00C5700E" w:rsidRPr="00A348C2" w:rsidRDefault="00C5700E" w:rsidP="00301E69">
            <w:pPr>
              <w:tabs>
                <w:tab w:val="left" w:pos="1102"/>
              </w:tabs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AOB</w:t>
            </w: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</w:t>
            </w:r>
            <w:r w:rsidR="00A348C2">
              <w:rPr>
                <w:rFonts w:ascii="Arial Narrow" w:hAnsi="Arial Narrow"/>
                <w:color w:val="auto"/>
                <w:sz w:val="16"/>
                <w:szCs w:val="16"/>
              </w:rPr>
              <w:t>DW agreed to contact Rob</w:t>
            </w:r>
            <w:r w:rsidR="00D53DAB">
              <w:rPr>
                <w:rFonts w:ascii="Arial Narrow" w:hAnsi="Arial Narrow"/>
                <w:color w:val="auto"/>
                <w:sz w:val="16"/>
                <w:szCs w:val="16"/>
              </w:rPr>
              <w:t>ert</w:t>
            </w:r>
            <w:r w:rsidR="00A348C2">
              <w:rPr>
                <w:rFonts w:ascii="Arial Narrow" w:hAnsi="Arial Narrow"/>
                <w:color w:val="auto"/>
                <w:sz w:val="16"/>
                <w:szCs w:val="16"/>
              </w:rPr>
              <w:t xml:space="preserve"> Davies at Binfield Heath PC to see if they would share any representations made by the </w:t>
            </w:r>
            <w:r w:rsidR="00C923EC">
              <w:rPr>
                <w:rFonts w:ascii="Arial Narrow" w:hAnsi="Arial Narrow"/>
                <w:color w:val="auto"/>
                <w:sz w:val="16"/>
                <w:szCs w:val="16"/>
              </w:rPr>
              <w:t>Phillimore</w:t>
            </w:r>
            <w:r w:rsidR="00A348C2">
              <w:rPr>
                <w:rFonts w:ascii="Arial Narrow" w:hAnsi="Arial Narrow"/>
                <w:color w:val="auto"/>
                <w:sz w:val="16"/>
                <w:szCs w:val="16"/>
              </w:rPr>
              <w:t xml:space="preserve"> Estate during BH’s Regulation 14 </w:t>
            </w:r>
            <w:r w:rsidR="00435013">
              <w:rPr>
                <w:rFonts w:ascii="Arial Narrow" w:hAnsi="Arial Narrow"/>
                <w:color w:val="auto"/>
                <w:sz w:val="16"/>
                <w:szCs w:val="16"/>
              </w:rPr>
              <w:t>C</w:t>
            </w:r>
            <w:r w:rsidR="00A348C2">
              <w:rPr>
                <w:rFonts w:ascii="Arial Narrow" w:hAnsi="Arial Narrow"/>
                <w:color w:val="auto"/>
                <w:sz w:val="16"/>
                <w:szCs w:val="16"/>
              </w:rPr>
              <w:t>onsultation.</w:t>
            </w:r>
            <w:r w:rsidR="00435013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D731F54" w14:textId="48D207DE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</w:t>
            </w:r>
          </w:p>
          <w:p w14:paraId="4CD79DFA" w14:textId="02BAA63E" w:rsidR="00ED59DC" w:rsidRPr="00444D0D" w:rsidRDefault="006A72BD" w:rsidP="006A72BD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David W</w:t>
            </w:r>
            <w:r w:rsidR="003321B6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7BC80DF" w14:textId="77777777" w:rsidR="00C5700E" w:rsidRPr="00444D0D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68BB5759" w14:textId="048419C5" w:rsidR="00ED59DC" w:rsidRPr="00444D0D" w:rsidRDefault="006A72BD" w:rsidP="006A72BD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31</w:t>
            </w:r>
            <w:r w:rsidRPr="006A72BD">
              <w:rPr>
                <w:rFonts w:ascii="Arial Narrow" w:hAnsi="Arial Narrow" w:cs="Arial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August</w:t>
            </w:r>
          </w:p>
        </w:tc>
      </w:tr>
      <w:tr w:rsidR="00444D0D" w:rsidRPr="00444D0D" w14:paraId="0C3EEA53" w14:textId="77777777" w:rsidTr="000120F4">
        <w:trPr>
          <w:trHeight w:val="175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A7663BE" w14:textId="00328AB4" w:rsidR="00C5700E" w:rsidRPr="00444D0D" w:rsidRDefault="00C5700E" w:rsidP="00C5700E">
            <w:pPr>
              <w:ind w:right="314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EA171A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6</w:t>
            </w:r>
            <w:r w:rsidR="00C24536" w:rsidRPr="00444D0D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CAD9A5" w14:textId="10933157" w:rsidR="00C5700E" w:rsidRPr="00444D0D" w:rsidRDefault="00C5700E" w:rsidP="000120F4">
            <w:pPr>
              <w:rPr>
                <w:color w:val="auto"/>
              </w:rPr>
            </w:pPr>
            <w:r w:rsidRPr="00444D0D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Next Meeting</w:t>
            </w:r>
            <w:r w:rsidRPr="00444D0D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:</w:t>
            </w:r>
            <w:r w:rsidR="006A72BD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01E69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Provisionally </w:t>
            </w:r>
            <w:r w:rsidR="00543D55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Monday 11</w:t>
            </w:r>
            <w:r w:rsidR="00543D55" w:rsidRPr="00D37247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vertAlign w:val="superscript"/>
              </w:rPr>
              <w:t>th</w:t>
            </w:r>
            <w:r w:rsidR="00543D55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September 7pm</w:t>
            </w:r>
            <w:r w:rsidR="00301E69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at Dunsden Village Hall</w:t>
            </w:r>
            <w:r w:rsidR="00543D55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AD2569" w14:textId="1C131AC0" w:rsidR="00C5700E" w:rsidRPr="00301E69" w:rsidRDefault="00C5700E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01E69">
              <w:rPr>
                <w:rFonts w:ascii="Arial Narrow" w:hAnsi="Arial Narrow" w:cs="Arial"/>
                <w:color w:val="auto"/>
                <w:sz w:val="16"/>
                <w:szCs w:val="16"/>
              </w:rPr>
              <w:t>SG Members</w:t>
            </w:r>
            <w:r w:rsidR="00DE270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Note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B86D1E" w14:textId="70CAE060" w:rsidR="00C5700E" w:rsidRPr="00301E69" w:rsidRDefault="00301E69" w:rsidP="00C5700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01E69">
              <w:rPr>
                <w:rFonts w:ascii="Arial Narrow" w:hAnsi="Arial Narrow" w:cs="Arial"/>
                <w:color w:val="auto"/>
                <w:sz w:val="16"/>
                <w:szCs w:val="16"/>
              </w:rPr>
              <w:t>11</w:t>
            </w:r>
            <w:r w:rsidRPr="00301E69">
              <w:rPr>
                <w:rFonts w:ascii="Arial Narrow" w:hAnsi="Arial Narrow" w:cs="Arial"/>
                <w:color w:val="auto"/>
                <w:sz w:val="16"/>
                <w:szCs w:val="16"/>
                <w:vertAlign w:val="superscript"/>
              </w:rPr>
              <w:t>th</w:t>
            </w:r>
            <w:r w:rsidRPr="00301E69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September</w:t>
            </w:r>
          </w:p>
        </w:tc>
      </w:tr>
    </w:tbl>
    <w:p w14:paraId="64B01E22" w14:textId="77777777" w:rsidR="005B7DC3" w:rsidRPr="00444D0D" w:rsidRDefault="005B7DC3">
      <w:pPr>
        <w:rPr>
          <w:color w:val="auto"/>
        </w:rPr>
      </w:pPr>
    </w:p>
    <w:sectPr w:rsidR="005B7DC3" w:rsidRPr="00444D0D">
      <w:pgSz w:w="11906" w:h="16838"/>
      <w:pgMar w:top="1440" w:right="1440" w:bottom="850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716"/>
    <w:multiLevelType w:val="hybridMultilevel"/>
    <w:tmpl w:val="F5BE41F2"/>
    <w:lvl w:ilvl="0" w:tplc="4F9A5D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4AB"/>
    <w:multiLevelType w:val="hybridMultilevel"/>
    <w:tmpl w:val="D3CCEE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2B69"/>
    <w:multiLevelType w:val="hybridMultilevel"/>
    <w:tmpl w:val="A67E9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689B"/>
    <w:multiLevelType w:val="hybridMultilevel"/>
    <w:tmpl w:val="E504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1304"/>
    <w:multiLevelType w:val="multilevel"/>
    <w:tmpl w:val="59626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F562FFE"/>
    <w:multiLevelType w:val="multilevel"/>
    <w:tmpl w:val="C56EC990"/>
    <w:lvl w:ilvl="0">
      <w:start w:val="1"/>
      <w:numFmt w:val="decimal"/>
      <w:lvlText w:val="%1)"/>
      <w:lvlJc w:val="left"/>
      <w:pPr>
        <w:tabs>
          <w:tab w:val="num" w:pos="0"/>
        </w:tabs>
        <w:ind w:left="1273" w:hanging="360"/>
      </w:pPr>
      <w:rPr>
        <w:rFonts w:ascii="Arial Narrow" w:hAnsi="Arial Narrow" w:cs="Arial"/>
        <w:b/>
        <w:bCs w:val="0"/>
        <w:sz w:val="16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3" w:hanging="180"/>
      </w:pPr>
    </w:lvl>
  </w:abstractNum>
  <w:abstractNum w:abstractNumId="6" w15:restartNumberingAfterBreak="0">
    <w:nsid w:val="40111DF0"/>
    <w:multiLevelType w:val="hybridMultilevel"/>
    <w:tmpl w:val="84B6D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0A393E"/>
    <w:multiLevelType w:val="hybridMultilevel"/>
    <w:tmpl w:val="AC4699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376A1"/>
    <w:multiLevelType w:val="hybridMultilevel"/>
    <w:tmpl w:val="7AF477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2B42"/>
    <w:multiLevelType w:val="multilevel"/>
    <w:tmpl w:val="8E4441AE"/>
    <w:lvl w:ilvl="0">
      <w:start w:val="1"/>
      <w:numFmt w:val="decimal"/>
      <w:lvlText w:val="%1)"/>
      <w:lvlJc w:val="left"/>
      <w:pPr>
        <w:tabs>
          <w:tab w:val="num" w:pos="0"/>
        </w:tabs>
        <w:ind w:left="1273" w:hanging="360"/>
      </w:pPr>
      <w:rPr>
        <w:rFonts w:ascii="Arial Narrow" w:hAnsi="Arial Narrow"/>
        <w:b/>
        <w:bCs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3" w:hanging="180"/>
      </w:pPr>
    </w:lvl>
  </w:abstractNum>
  <w:abstractNum w:abstractNumId="10" w15:restartNumberingAfterBreak="0">
    <w:nsid w:val="69D974D6"/>
    <w:multiLevelType w:val="multilevel"/>
    <w:tmpl w:val="EE700010"/>
    <w:lvl w:ilvl="0">
      <w:start w:val="1"/>
      <w:numFmt w:val="decimal"/>
      <w:lvlText w:val="%1)"/>
      <w:lvlJc w:val="left"/>
      <w:pPr>
        <w:tabs>
          <w:tab w:val="num" w:pos="0"/>
        </w:tabs>
        <w:ind w:left="1273" w:hanging="360"/>
      </w:pPr>
      <w:rPr>
        <w:rFonts w:ascii="Arial Narrow" w:hAnsi="Arial Narrow"/>
        <w:b/>
        <w:bCs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3" w:hanging="180"/>
      </w:pPr>
    </w:lvl>
  </w:abstractNum>
  <w:abstractNum w:abstractNumId="11" w15:restartNumberingAfterBreak="0">
    <w:nsid w:val="746B7D50"/>
    <w:multiLevelType w:val="hybridMultilevel"/>
    <w:tmpl w:val="7884F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22098"/>
    <w:multiLevelType w:val="multilevel"/>
    <w:tmpl w:val="2E10979C"/>
    <w:lvl w:ilvl="0">
      <w:start w:val="1"/>
      <w:numFmt w:val="decimal"/>
      <w:lvlText w:val="%1)"/>
      <w:lvlJc w:val="left"/>
      <w:pPr>
        <w:tabs>
          <w:tab w:val="num" w:pos="0"/>
        </w:tabs>
        <w:ind w:left="1273" w:hanging="360"/>
      </w:pPr>
      <w:rPr>
        <w:rFonts w:ascii="Arial Narrow" w:hAnsi="Arial Narrow"/>
        <w:b/>
        <w:bCs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3" w:hanging="180"/>
      </w:pPr>
    </w:lvl>
  </w:abstractNum>
  <w:num w:numId="1" w16cid:durableId="416366543">
    <w:abstractNumId w:val="10"/>
  </w:num>
  <w:num w:numId="2" w16cid:durableId="1111626603">
    <w:abstractNumId w:val="9"/>
  </w:num>
  <w:num w:numId="3" w16cid:durableId="1022249470">
    <w:abstractNumId w:val="5"/>
  </w:num>
  <w:num w:numId="4" w16cid:durableId="1958413986">
    <w:abstractNumId w:val="12"/>
  </w:num>
  <w:num w:numId="5" w16cid:durableId="1090540655">
    <w:abstractNumId w:val="4"/>
  </w:num>
  <w:num w:numId="6" w16cid:durableId="1094403782">
    <w:abstractNumId w:val="7"/>
  </w:num>
  <w:num w:numId="7" w16cid:durableId="483856239">
    <w:abstractNumId w:val="0"/>
  </w:num>
  <w:num w:numId="8" w16cid:durableId="1077871827">
    <w:abstractNumId w:val="2"/>
  </w:num>
  <w:num w:numId="9" w16cid:durableId="694574005">
    <w:abstractNumId w:val="11"/>
  </w:num>
  <w:num w:numId="10" w16cid:durableId="1106388875">
    <w:abstractNumId w:val="8"/>
  </w:num>
  <w:num w:numId="11" w16cid:durableId="989091980">
    <w:abstractNumId w:val="3"/>
  </w:num>
  <w:num w:numId="12" w16cid:durableId="237835837">
    <w:abstractNumId w:val="1"/>
  </w:num>
  <w:num w:numId="13" w16cid:durableId="316612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C3"/>
    <w:rsid w:val="000120F4"/>
    <w:rsid w:val="00014E7A"/>
    <w:rsid w:val="0002090B"/>
    <w:rsid w:val="0002390E"/>
    <w:rsid w:val="00023C88"/>
    <w:rsid w:val="00087236"/>
    <w:rsid w:val="00095F0C"/>
    <w:rsid w:val="000D4672"/>
    <w:rsid w:val="000F6D93"/>
    <w:rsid w:val="001078B3"/>
    <w:rsid w:val="0012105C"/>
    <w:rsid w:val="00137B88"/>
    <w:rsid w:val="001407DD"/>
    <w:rsid w:val="00147EC6"/>
    <w:rsid w:val="001579FC"/>
    <w:rsid w:val="0016275B"/>
    <w:rsid w:val="00176B87"/>
    <w:rsid w:val="001838D5"/>
    <w:rsid w:val="001843B2"/>
    <w:rsid w:val="00190421"/>
    <w:rsid w:val="00193AB7"/>
    <w:rsid w:val="001A0EA5"/>
    <w:rsid w:val="001C4949"/>
    <w:rsid w:val="001D6AEE"/>
    <w:rsid w:val="001D779C"/>
    <w:rsid w:val="001E3D8A"/>
    <w:rsid w:val="001F67D9"/>
    <w:rsid w:val="00206729"/>
    <w:rsid w:val="00237B66"/>
    <w:rsid w:val="00254EAB"/>
    <w:rsid w:val="0029397E"/>
    <w:rsid w:val="002A26FB"/>
    <w:rsid w:val="002E3407"/>
    <w:rsid w:val="002F4B82"/>
    <w:rsid w:val="00301E69"/>
    <w:rsid w:val="00324542"/>
    <w:rsid w:val="00331A6A"/>
    <w:rsid w:val="003321B6"/>
    <w:rsid w:val="003360BE"/>
    <w:rsid w:val="003368FF"/>
    <w:rsid w:val="00347F9D"/>
    <w:rsid w:val="00397504"/>
    <w:rsid w:val="003E13C8"/>
    <w:rsid w:val="00435013"/>
    <w:rsid w:val="004358AD"/>
    <w:rsid w:val="00444425"/>
    <w:rsid w:val="00444D0D"/>
    <w:rsid w:val="0049765C"/>
    <w:rsid w:val="004B28AD"/>
    <w:rsid w:val="004B5C49"/>
    <w:rsid w:val="004E2421"/>
    <w:rsid w:val="005409EF"/>
    <w:rsid w:val="00542F36"/>
    <w:rsid w:val="00543D55"/>
    <w:rsid w:val="00551FF7"/>
    <w:rsid w:val="0057168C"/>
    <w:rsid w:val="005A63E3"/>
    <w:rsid w:val="005B7DC3"/>
    <w:rsid w:val="005C5CB9"/>
    <w:rsid w:val="005C72E8"/>
    <w:rsid w:val="005D691B"/>
    <w:rsid w:val="005E12B3"/>
    <w:rsid w:val="005E2EAB"/>
    <w:rsid w:val="005F1BA7"/>
    <w:rsid w:val="006204DC"/>
    <w:rsid w:val="006254C5"/>
    <w:rsid w:val="00632092"/>
    <w:rsid w:val="0063766C"/>
    <w:rsid w:val="00651579"/>
    <w:rsid w:val="00661AC7"/>
    <w:rsid w:val="00663966"/>
    <w:rsid w:val="006943DE"/>
    <w:rsid w:val="006A488E"/>
    <w:rsid w:val="006A72BD"/>
    <w:rsid w:val="006B1985"/>
    <w:rsid w:val="006C07FF"/>
    <w:rsid w:val="006C6ABD"/>
    <w:rsid w:val="006F1BBA"/>
    <w:rsid w:val="006F1E46"/>
    <w:rsid w:val="007036C5"/>
    <w:rsid w:val="00735FCF"/>
    <w:rsid w:val="0074272F"/>
    <w:rsid w:val="00762F80"/>
    <w:rsid w:val="0079325E"/>
    <w:rsid w:val="00793986"/>
    <w:rsid w:val="007A0B0C"/>
    <w:rsid w:val="007D3095"/>
    <w:rsid w:val="00810E52"/>
    <w:rsid w:val="00814E9A"/>
    <w:rsid w:val="008166D4"/>
    <w:rsid w:val="008349E7"/>
    <w:rsid w:val="00835703"/>
    <w:rsid w:val="00851811"/>
    <w:rsid w:val="0087003E"/>
    <w:rsid w:val="0088437B"/>
    <w:rsid w:val="00890BC5"/>
    <w:rsid w:val="00892041"/>
    <w:rsid w:val="00896FE8"/>
    <w:rsid w:val="008B26AA"/>
    <w:rsid w:val="008B6D0B"/>
    <w:rsid w:val="008D0ED7"/>
    <w:rsid w:val="00925809"/>
    <w:rsid w:val="009559C4"/>
    <w:rsid w:val="00962F3E"/>
    <w:rsid w:val="00975B20"/>
    <w:rsid w:val="00976A4A"/>
    <w:rsid w:val="00986350"/>
    <w:rsid w:val="0098637B"/>
    <w:rsid w:val="009B57DB"/>
    <w:rsid w:val="009B6CA2"/>
    <w:rsid w:val="009C20C4"/>
    <w:rsid w:val="009D6488"/>
    <w:rsid w:val="009E7592"/>
    <w:rsid w:val="00A04BF6"/>
    <w:rsid w:val="00A2069A"/>
    <w:rsid w:val="00A259E3"/>
    <w:rsid w:val="00A26D92"/>
    <w:rsid w:val="00A348C2"/>
    <w:rsid w:val="00A508D6"/>
    <w:rsid w:val="00A56F7F"/>
    <w:rsid w:val="00A65A51"/>
    <w:rsid w:val="00A71618"/>
    <w:rsid w:val="00A836C7"/>
    <w:rsid w:val="00A963F0"/>
    <w:rsid w:val="00AA2834"/>
    <w:rsid w:val="00AB3431"/>
    <w:rsid w:val="00AE2642"/>
    <w:rsid w:val="00AE373C"/>
    <w:rsid w:val="00AE4A84"/>
    <w:rsid w:val="00B03DA1"/>
    <w:rsid w:val="00B10DFF"/>
    <w:rsid w:val="00B13586"/>
    <w:rsid w:val="00B166CF"/>
    <w:rsid w:val="00B44BCA"/>
    <w:rsid w:val="00B47690"/>
    <w:rsid w:val="00B76F2F"/>
    <w:rsid w:val="00B77A8D"/>
    <w:rsid w:val="00B77FB1"/>
    <w:rsid w:val="00B83433"/>
    <w:rsid w:val="00BA7AE5"/>
    <w:rsid w:val="00BC1875"/>
    <w:rsid w:val="00BC2235"/>
    <w:rsid w:val="00BD7952"/>
    <w:rsid w:val="00BE0798"/>
    <w:rsid w:val="00BE7D07"/>
    <w:rsid w:val="00C161AA"/>
    <w:rsid w:val="00C24536"/>
    <w:rsid w:val="00C42782"/>
    <w:rsid w:val="00C441E0"/>
    <w:rsid w:val="00C5700E"/>
    <w:rsid w:val="00C80813"/>
    <w:rsid w:val="00C81C81"/>
    <w:rsid w:val="00C923EC"/>
    <w:rsid w:val="00CA27ED"/>
    <w:rsid w:val="00CB0D16"/>
    <w:rsid w:val="00CB5A75"/>
    <w:rsid w:val="00CC0203"/>
    <w:rsid w:val="00CC069C"/>
    <w:rsid w:val="00CC5AA1"/>
    <w:rsid w:val="00CE4507"/>
    <w:rsid w:val="00CF3D4E"/>
    <w:rsid w:val="00D375EA"/>
    <w:rsid w:val="00D53DAB"/>
    <w:rsid w:val="00D54775"/>
    <w:rsid w:val="00D60F9A"/>
    <w:rsid w:val="00DA3F3E"/>
    <w:rsid w:val="00DB4A65"/>
    <w:rsid w:val="00DE270F"/>
    <w:rsid w:val="00DE4443"/>
    <w:rsid w:val="00E108A6"/>
    <w:rsid w:val="00E35633"/>
    <w:rsid w:val="00E42E71"/>
    <w:rsid w:val="00E46BC8"/>
    <w:rsid w:val="00E5171E"/>
    <w:rsid w:val="00E5515F"/>
    <w:rsid w:val="00E620E2"/>
    <w:rsid w:val="00EA171A"/>
    <w:rsid w:val="00EB62C9"/>
    <w:rsid w:val="00ED59DC"/>
    <w:rsid w:val="00ED5ED4"/>
    <w:rsid w:val="00F05C92"/>
    <w:rsid w:val="00F13B4B"/>
    <w:rsid w:val="00F31FF1"/>
    <w:rsid w:val="00F53603"/>
    <w:rsid w:val="00F5451A"/>
    <w:rsid w:val="00F81B5A"/>
    <w:rsid w:val="00F82C1E"/>
    <w:rsid w:val="00F86D3A"/>
    <w:rsid w:val="00F95E4E"/>
    <w:rsid w:val="00F97967"/>
    <w:rsid w:val="00FB699F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9838"/>
  <w15:docId w15:val="{278722CC-9686-40A9-BEAE-871CB5C3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44"/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7B1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5D98"/>
    <w:rPr>
      <w:color w:val="605E5C"/>
      <w:shd w:val="clear" w:color="auto" w:fill="E1DFDD"/>
    </w:rPr>
  </w:style>
  <w:style w:type="character" w:styleId="Emphasis">
    <w:name w:val="Emphasis"/>
    <w:qFormat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4C55"/>
    <w:rPr>
      <w:rFonts w:ascii="Segoe UI" w:hAnsi="Segoe UI" w:cs="Segoe UI"/>
      <w:color w:val="00000A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CC6966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qFormat/>
    <w:rsid w:val="002E32AE"/>
  </w:style>
  <w:style w:type="character" w:styleId="FollowedHyperlink">
    <w:name w:val="FollowedHyperlink"/>
    <w:basedOn w:val="DefaultParagraphFont"/>
    <w:uiPriority w:val="99"/>
    <w:semiHidden/>
    <w:unhideWhenUsed/>
    <w:qFormat/>
    <w:rsid w:val="00E22214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0754"/>
    <w:rPr>
      <w:rFonts w:ascii="Calibri" w:eastAsia="Calibri" w:hAnsi="Calibri"/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80754"/>
    <w:rPr>
      <w:rFonts w:ascii="Calibri" w:eastAsia="Calibri" w:hAnsi="Calibri"/>
      <w:color w:val="00000A"/>
      <w:sz w:val="22"/>
    </w:rPr>
  </w:style>
  <w:style w:type="character" w:customStyle="1" w:styleId="m8633814867086457637questionvalue">
    <w:name w:val="m_8633814867086457637questionvalue"/>
    <w:basedOn w:val="DefaultParagraphFont"/>
    <w:qFormat/>
    <w:rsid w:val="00BD17D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ucida Grande" w:eastAsia="Arial Unicode MS" w:hAnsi="Lucida Grande" w:cs="Arial Unicode MS"/>
      <w:sz w:val="28"/>
      <w:szCs w:val="28"/>
    </w:rPr>
  </w:style>
  <w:style w:type="paragraph" w:styleId="BodyText">
    <w:name w:val="Body Text"/>
    <w:basedOn w:val="Normal"/>
    <w:rsid w:val="00D04B44"/>
    <w:pPr>
      <w:spacing w:after="140" w:line="276" w:lineRule="auto"/>
    </w:pPr>
  </w:style>
  <w:style w:type="paragraph" w:styleId="List">
    <w:name w:val="List"/>
    <w:basedOn w:val="BodyText"/>
    <w:rPr>
      <w:rFonts w:ascii="Lucida Grande" w:hAnsi="Lucida Gran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ucida Grande" w:hAnsi="Lucida Grande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D04B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A7A6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4C5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CC6966"/>
    <w:rPr>
      <w:rFonts w:eastAsiaTheme="minorHAnsi"/>
      <w:szCs w:val="21"/>
    </w:rPr>
  </w:style>
  <w:style w:type="paragraph" w:styleId="Revision">
    <w:name w:val="Revision"/>
    <w:uiPriority w:val="99"/>
    <w:semiHidden/>
    <w:qFormat/>
    <w:rsid w:val="00D04B44"/>
    <w:rPr>
      <w:rFonts w:ascii="Calibri" w:eastAsia="Calibri" w:hAnsi="Calibri"/>
      <w:color w:val="00000A"/>
      <w:sz w:val="22"/>
    </w:rPr>
  </w:style>
  <w:style w:type="paragraph" w:customStyle="1" w:styleId="Default">
    <w:name w:val="Default"/>
    <w:qFormat/>
    <w:rsid w:val="00D04B44"/>
    <w:rPr>
      <w:rFonts w:ascii="Calibri" w:eastAsia="Calibri" w:hAnsi="Calibri" w:cs="Calibri"/>
      <w:color w:val="000000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8075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80754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3F39C69AC904091966D578B1FACCA" ma:contentTypeVersion="4" ma:contentTypeDescription="Create a new document." ma:contentTypeScope="" ma:versionID="8fa88a7c2730d6b63cc1e7cb85bcd984">
  <xsd:schema xmlns:xsd="http://www.w3.org/2001/XMLSchema" xmlns:xs="http://www.w3.org/2001/XMLSchema" xmlns:p="http://schemas.microsoft.com/office/2006/metadata/properties" xmlns:ns2="2a639bfe-d28b-4399-90fd-c48a4693d0e9" xmlns:ns3="c593a8ea-f81b-4c8e-a37f-d0cfea62998e" targetNamespace="http://schemas.microsoft.com/office/2006/metadata/properties" ma:root="true" ma:fieldsID="afd6bb88847e5c8ce9589f40adb04291" ns2:_="" ns3:_="">
    <xsd:import namespace="2a639bfe-d28b-4399-90fd-c48a4693d0e9"/>
    <xsd:import namespace="c593a8ea-f81b-4c8e-a37f-d0cfea629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39bfe-d28b-4399-90fd-c48a4693d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a8ea-f81b-4c8e-a37f-d0cfea629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DE8C8-58CA-4741-8961-C793010E1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5A71A-2D0E-4627-AEB0-6E8D15B92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39bfe-d28b-4399-90fd-c48a4693d0e9"/>
    <ds:schemaRef ds:uri="c593a8ea-f81b-4c8e-a37f-d0cfea629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41C9A-7141-4EEE-AEB6-BE0D68110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4DD260-3CBD-4EE4-A04A-73682C9E8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Dick</dc:creator>
  <dc:description/>
  <cp:lastModifiedBy>Howard Crews</cp:lastModifiedBy>
  <cp:revision>4</cp:revision>
  <cp:lastPrinted>2021-09-08T17:39:00Z</cp:lastPrinted>
  <dcterms:created xsi:type="dcterms:W3CDTF">2023-08-22T15:42:00Z</dcterms:created>
  <dcterms:modified xsi:type="dcterms:W3CDTF">2023-08-22T15:50:00Z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0x010100CCE3F39C69AC904091966D578B1FACCA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